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Обнинске обсудят развитие атомной энергетики, подготовку кадров и ядерную медицину 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Конференция будет посвящена Дню российской науки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9 февраля в Обнинске (Калужская обл.) на базе Технической академии Росатома пройдет научно-техническая конференция, посвященная Дню российской науки. Организатором мероприятия также выступают Физико-энергетический институт (АО «ГНЦ РФ — ФЭИ», входит в научный дивизион Госкорпорации «Росатом») и администрация города Обнинска. Мероприятие соберет более 200 участников из научных, производственных и образовательных организаций Калужской области. Ожидается, что в нем примут участие представители администрации города и региона, молодые ученые, студенты калужских вузов. </w:t>
        <w:br w:type="textWrapping"/>
        <w:br w:type="textWrapping"/>
        <w:t xml:space="preserve">На конференции обсудят актуальные направления развития атомной отрасли: многокомпонентную атомную энергетику, возможности неэнергетического применения ее технологий, развитие ядерной медицины. Отдельное внимание будет уделено вопросам подготовки высококвалифицированных кадров. В частности, планируется рассмотреть перспективы развития кадрового потенциала, возможности сотрудничества университетов и школ с предприятиями научно-промышленного комплекса региона — все то, что необходимо для привлечения молодых специалистов.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color w:val="222222"/>
          <w:rtl w:val="0"/>
        </w:rPr>
        <w:t xml:space="preserve">В этой связи обсудят также создание мирового центра атомного образования «Обнинск.ТЕХ», </w:t>
      </w:r>
      <w:r w:rsidDel="00000000" w:rsidR="00000000" w:rsidRPr="00000000">
        <w:rPr>
          <w:color w:val="222222"/>
          <w:rtl w:val="0"/>
        </w:rPr>
        <w:t xml:space="preserve">который станет хабом по развитию современных образовательных технологий, экспозицией экспортноориентированных продуктов российских высокотехнологичных компаний, площадкой для проведения конгрессов, выставок, международных школ. Основой центра станет инфраструктура Технической академии «Ростома» и обнинского филиала Национального исследовательского ядерного университета «МИФИ» (НИЯУ МИФИ). Вместе с тем, в его создании примут участие все 18 опорных вузов атомной отрасли, которые ежегодно обеспечивают более 70% потребностей Росатома в выпускниках. Развитие центра позволит к 2030 году занять не менее 20 % мирового рынка ядерного и смежного образования.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br w:type="textWrapping"/>
        <w:t xml:space="preserve">Первые результаты реализации мероприятий Десятилетия науки и технологий будут представлены на молодежной секции, где молодые ученые и специалисты поделятся своим видением будущего атомной отрасли.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br w:type="textWrapping"/>
        <w:br w:type="textWrapping"/>
        <w:t xml:space="preserve">Президент России Владимир Путин объявил о проведении с 2022 по 2031 год Десятилетия науки и технологий. Среди задач тематического Десятилетия — привлечение в сферу исследований и разработок талантливой молодежи, содействие вовлечению исследователей и разработчиков в решение важнейших задач развития общества и страны, а также повышение доступности информации о достижениях и перспективах развития науки для граждан России. Оператор проведения Десятилетия науки и технологий — АНО «Национальные приоритеты». Более подробная информация об инициативах, мероприятиях и проектах Десятилетия науки и технологий — на сайте наука.рф. </w:t>
        <w:br w:type="textWrapping"/>
        <w:br w:type="textWrapping"/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0E">
      <w:pPr>
        <w:spacing w:after="240" w:before="240" w:line="276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Обнинск — первый наукоград России и крупный научно-технический кластер. Здесь находится первая в мире атомная станция, запущенная в 1954 году, Физико-энергетический институт имени А. И. Лейпунского, Обнинский институт атомной энергетики (филиал НИЯУ МИФИ), который в этом году отмечает свое 70-летие, и ряд других знаковых научно-исследовательских центров. В городе расположен также главный кампус Технической академии Росатома — современного многопрофильного центра подготовки персонала атомной отрасли. Подготовка ведется по целому ряду направлений. Ежегодно здесь проходят переподготовку и повышение квалификации по программам отраслевого обучения более 23 тыс. человек.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научного дивизиона Росатома, пресс-служба АО «ГНЦ РФ — ФЭИ»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xV9iB8shGa03t8TYd5lPx5OxVg==">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2024-01-31T08:55:00Z</dcterms:created>
  <dc:creator>b v</dc:creator>
</cp:coreProperties>
</file>