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16.01.24</w:t>
            </w:r>
          </w:p>
        </w:tc>
      </w:tr>
    </w:tbl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8">
      <w:pPr>
        <w:spacing w:line="27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Росатом принял участие во Всероссийском муниципальном форуме «Малая родина — сила России»</w:t>
      </w:r>
    </w:p>
    <w:p w:rsidR="00000000" w:rsidDel="00000000" w:rsidP="00000000" w:rsidRDefault="00000000" w:rsidRPr="00000000" w14:paraId="00000009">
      <w:pPr>
        <w:spacing w:line="276" w:lineRule="auto"/>
        <w:jc w:val="center"/>
        <w:rPr/>
      </w:pPr>
      <w:r w:rsidDel="00000000" w:rsidR="00000000" w:rsidRPr="00000000">
        <w:rPr>
          <w:i w:val="1"/>
          <w:rtl w:val="0"/>
        </w:rPr>
        <w:t xml:space="preserve">Эксперты обсудили вопросы развития ЗАТО для технологической независимости России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rPr/>
      </w:pPr>
      <w:r w:rsidDel="00000000" w:rsidR="00000000" w:rsidRPr="00000000">
        <w:rPr>
          <w:rtl w:val="0"/>
        </w:rPr>
        <w:t xml:space="preserve">Госкорпорация «Росатом» приняла участие во Всероссийском муниципальном форуме «Малая родина — сила России», который прошел 15–16 января на ВДНХ, в рамках Международной выставки-форума «Россия». В павильоне «Атом» прошло совещание Ecumene Club, участники которого обсудили вклад закрытых территорий России в обеспечение индустриальной независимости страны.</w:t>
      </w:r>
    </w:p>
    <w:p w:rsidR="00000000" w:rsidDel="00000000" w:rsidP="00000000" w:rsidRDefault="00000000" w:rsidRPr="00000000" w14:paraId="0000000C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0D">
      <w:pPr>
        <w:spacing w:line="276" w:lineRule="auto"/>
        <w:rPr/>
      </w:pPr>
      <w:r w:rsidDel="00000000" w:rsidR="00000000" w:rsidRPr="00000000">
        <w:rPr>
          <w:rtl w:val="0"/>
        </w:rPr>
        <w:t xml:space="preserve">В мероприятии приняли участие специалисты Госкорпорации «Росатом», представители государственной власти, главы ЗАТО, руководители бизнес-структур и научных организаций. Модератором дискуссии выступил программный директор Ecumene Club Сергей Рыбаков.</w:t>
      </w:r>
    </w:p>
    <w:p w:rsidR="00000000" w:rsidDel="00000000" w:rsidP="00000000" w:rsidRDefault="00000000" w:rsidRPr="00000000" w14:paraId="0000000E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0F">
      <w:pPr>
        <w:spacing w:line="276" w:lineRule="auto"/>
        <w:rPr/>
      </w:pPr>
      <w:r w:rsidDel="00000000" w:rsidR="00000000" w:rsidRPr="00000000">
        <w:rPr>
          <w:rtl w:val="0"/>
        </w:rPr>
        <w:t xml:space="preserve">Депутат Государственной Думы РФ, первый заместитель председателя Комитета по экологии, природным ресурсам и охране окружающей среды, первый заместитель председателя Общественного совета Госкорпорации «Росатом» Вячеслав Фетисов рассказал о реализации проекта мероприятий по вопросам развития ЗАТО за 2023 год. «В очередной раз убедился в силе Росатома как в системе, которая генерит много технологий, связанных не только с атомной энергией, но и с ядерной медициной и так далее. Недавно мы общались в Сарове с уважаемыми учеными о колоссальном научно-технологическом потенциале, заложенном нашими отцами и дедами. Сегодня важная задача для молодых исследователей — двигаться туда, где есть великие ученые и инженеры. ЗАТО является базовым резервом, который позволяет нам оставаться индустриально независимыми. По тематике ЗАТО нам удалось провести множество мероприятий в 2023 году. Я думаю, что в этом году мы запланируем новые встречи о развитии ЗАТО на площадке Госдумы, Администрации Президента РФ при поддержке Национального центра физики и математики. Мы видели, какой фантастический научный центр строится в Сарове, большая надежда на А. М. Сергеева и команду».</w:t>
      </w:r>
    </w:p>
    <w:p w:rsidR="00000000" w:rsidDel="00000000" w:rsidP="00000000" w:rsidRDefault="00000000" w:rsidRPr="00000000" w14:paraId="00000010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1">
      <w:pPr>
        <w:spacing w:line="276" w:lineRule="auto"/>
        <w:rPr/>
      </w:pPr>
      <w:r w:rsidDel="00000000" w:rsidR="00000000" w:rsidRPr="00000000">
        <w:rPr>
          <w:rtl w:val="0"/>
        </w:rPr>
        <w:t xml:space="preserve">Научный руководитель Национального центра физики и математики (НЦФМ) академик РАН Александр Сергеев рассказал, в чем особенность Центра, который сооружается при поддержке Госкорпорации «Росатом», и каким образом можно усилить научно-технологическую и индустриальную независимость России путем взаимодействия территорий с высоким научно-технологическим потенциалом. «В физике есть концепция: устойчивой может быть только открытая система, которая постоянно взаимодействует с внешней средой, что является главным условием ее развития. Чтобы государство было сильным, должны оставаться территории, где мы куем щит и меч. Но как добавить элемент открытости, нужный молодежи и бизнесу, в ЗАТО? Мы создали такую открытую территорию, как НЦФМ около Сарова. На открытой территории организован филиал „МГУ Саров“, поскольку МГУ — это вуз, который обладает очень широким спектром подготовки специалистов, потому что Росатом не только про атомную энергию и безопасность, но и про атомные ледоколы, про новые материалы, квантовые технологии и многое другое. НЦФМ предлагает молодым ребятам заниматься не только традиционными, физическими, задачами, но и более широким спектром задач. Там, где интересно, туда придет молодежь, культура, бизнес», — сказал он.</w:t>
      </w:r>
    </w:p>
    <w:p w:rsidR="00000000" w:rsidDel="00000000" w:rsidP="00000000" w:rsidRDefault="00000000" w:rsidRPr="00000000" w14:paraId="00000012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3">
      <w:pPr>
        <w:spacing w:line="276" w:lineRule="auto"/>
        <w:rPr/>
      </w:pPr>
      <w:r w:rsidDel="00000000" w:rsidR="00000000" w:rsidRPr="00000000">
        <w:rPr>
          <w:rtl w:val="0"/>
        </w:rPr>
        <w:t xml:space="preserve">Генеральный директор Фонда поддержки проектов НТИ Вадим Медведев отметил, что сегодня важно держать в актуальной повестке задачу достижения технологического суверенитета страны, а также развития технологий для выхода на международные рынки. Он уточнил, как эффективнее всего адаптировать опыт реализации акселерационных программ технологического предпринимательства с учетом специфики ЗАТО. «Город — это люди с конкретным опытом, ценностями и целями.  Закрытые города должны развиваться в федеральной перспективе, а не муниципальной, чтобы была возможность решать задачи на уровне страны. Нужно внедрять в ЗАТО инновации, умные технологии, перспективные решения и разработки. На федеральном уровне должна появиться соответствующая госпрограмма комплексного развития ЗАТО и территорий с высоким научно-технологическим потенциалом, а также имеющих особое значение для обеспечения безопасности нашей страны. Например, НЦФМ для меня лично — это место, где работают лучшие коллективы нашей страны: и Росатом, и МГУ, и РАН. Мы обсуждаем с коллегами развитие цифровых технологий и готовы работать с закрытыми территориями», — подчеркнул он.</w:t>
      </w:r>
    </w:p>
    <w:p w:rsidR="00000000" w:rsidDel="00000000" w:rsidP="00000000" w:rsidRDefault="00000000" w:rsidRPr="00000000" w14:paraId="00000014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5">
      <w:pPr>
        <w:spacing w:line="276" w:lineRule="auto"/>
        <w:rPr/>
      </w:pPr>
      <w:r w:rsidDel="00000000" w:rsidR="00000000" w:rsidRPr="00000000">
        <w:rPr>
          <w:rtl w:val="0"/>
        </w:rPr>
        <w:t xml:space="preserve">Директор Института региональных экономических исследований, Президент Российской академии естественных наук Петр Бурак в своем выступлении отметил, как наладить долгосрочное, устойчивое сотрудничество между руководством регионов, бизнес-структурами и ЗАТО, и подчеркнул необходимость последовательного усиления плановых инструментов в экономике. Представители ЗАТО уточнили, как выработать долгосрочную и единую для всех ЗАТО систему взаимодействия, чтобы планомерно и системно продвигать и защищать интересы этих уникальных городов. В рамках заседания выступили глава ЗАТО Солнечный (Тверская область) Владимир Петров и глава ЗАТО Радужный (Владимирская область) Андрей Колгашкин, президент Ассоциации ЗАТО атомной промышленности, советник генерального директора АО «Русатом Инфраструктурные решения» (РИР, </w:t>
      </w:r>
      <w:r w:rsidDel="00000000" w:rsidR="00000000" w:rsidRPr="00000000">
        <w:rPr>
          <w:rtl w:val="0"/>
        </w:rPr>
        <w:t xml:space="preserve">дивизион</w:t>
      </w:r>
      <w:r w:rsidDel="00000000" w:rsidR="00000000" w:rsidRPr="00000000">
        <w:rPr>
          <w:rtl w:val="0"/>
        </w:rPr>
        <w:t xml:space="preserve"> Госкорпорации «Росатом») Алексей Голубев, председатель правления Ассоциации содействия развитию ЗАТО Сергей Ермоленко.</w:t>
      </w:r>
    </w:p>
    <w:p w:rsidR="00000000" w:rsidDel="00000000" w:rsidP="00000000" w:rsidRDefault="00000000" w:rsidRPr="00000000" w14:paraId="00000016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7">
      <w:pPr>
        <w:spacing w:line="276" w:lineRule="auto"/>
        <w:rPr/>
      </w:pPr>
      <w:r w:rsidDel="00000000" w:rsidR="00000000" w:rsidRPr="00000000">
        <w:rPr>
          <w:rtl w:val="0"/>
        </w:rPr>
        <w:t xml:space="preserve">В заключение дискуссии Сергей Рыбаков отметил, что необходимо выстроить единую систему взаимоотношений и продолжать системно продвигать интересы ЗАТО в рамках профильных министерств, государственных корпораций, научных и общественных организаций и общества.</w:t>
      </w:r>
    </w:p>
    <w:p w:rsidR="00000000" w:rsidDel="00000000" w:rsidP="00000000" w:rsidRDefault="00000000" w:rsidRPr="00000000" w14:paraId="00000018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9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</w:t>
      </w:r>
    </w:p>
    <w:p w:rsidR="00000000" w:rsidDel="00000000" w:rsidP="00000000" w:rsidRDefault="00000000" w:rsidRPr="00000000" w14:paraId="0000001A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B">
      <w:pPr>
        <w:spacing w:line="276" w:lineRule="auto"/>
        <w:rPr/>
      </w:pPr>
      <w:r w:rsidDel="00000000" w:rsidR="00000000" w:rsidRPr="00000000">
        <w:rPr>
          <w:rtl w:val="0"/>
        </w:rPr>
        <w:t xml:space="preserve">Всероссийский муниципальный форум «Малая родина — сила России» — конференция, организованная с целью объединить муниципальное сообщество России на основе единых ценностей служения обществу и государству. Форум был призван выявить и поддержать муниципальные проекты и инициативы, способствующие развитию территорий и достижению национальных целей, повысить и укрепить престиж муниципальной службы. Программа Форума включала в себя  панельные дискуссии с участием высших должностных лиц, церемонию вручения Первой Всероссийской муниципальной премии «Служение», а также круглые столы, панельные дискуссии, стратегические сессии с участием представителей отраслевых министерств и ведомств, бизнеса и НКО.</w:t>
      </w:r>
    </w:p>
    <w:p w:rsidR="00000000" w:rsidDel="00000000" w:rsidP="00000000" w:rsidRDefault="00000000" w:rsidRPr="00000000" w14:paraId="0000001C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D">
      <w:pPr>
        <w:spacing w:line="276" w:lineRule="auto"/>
        <w:rPr/>
      </w:pPr>
      <w:r w:rsidDel="00000000" w:rsidR="00000000" w:rsidRPr="00000000">
        <w:rPr>
          <w:rtl w:val="0"/>
        </w:rPr>
        <w:t xml:space="preserve">Национальный центр физики и математики (НЦФМ) является флагманским проектом Десятилетия науки и технологий. В Сарове (Нижегородская обл.), на территории НЦФМ возводится комплекс из научно-исследовательских корпусов, передовых лабораторий и установок класса «миди-сайенс» и «мегасайенс» с целью получение новых научных результатов мирового уровня, подготовки ученых высшей квалификации, воспитания новых научно-технологических лидеров, укрепления кадрового потенциала предприятий Госкорпорации «Росатом» и ключевых научных организаций России. Образовательной частью Национального центра стал филиал Московского государственного университета им. М. В. Ломоносова — МГУ Саров. Учредители НЦФМ — Госкорпорация «Росатом», МГУ им. М. В. Ломоносова, РАН, Министерство науки и высшего образования России, РФЯЦ — ВНИИЭФ, НИЦ «Курчатовский институт» и ОИЯИ.</w:t>
      </w:r>
    </w:p>
    <w:p w:rsidR="00000000" w:rsidDel="00000000" w:rsidP="00000000" w:rsidRDefault="00000000" w:rsidRPr="00000000" w14:paraId="0000001E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F">
      <w:pPr>
        <w:spacing w:line="276" w:lineRule="auto"/>
        <w:rPr/>
      </w:pPr>
      <w:r w:rsidDel="00000000" w:rsidR="00000000" w:rsidRPr="00000000">
        <w:rPr>
          <w:rtl w:val="0"/>
        </w:rPr>
        <w:t xml:space="preserve">Перед российской промышленностью стоит цель в кратчайшие сроки обеспечить технологический суверенитет и переход на новейшие технологии. Государство и крупные отечественные компании направляют ресурсы на ускоренное развитие отечественной исследовательской, инфраструктурной, научно-технологической базы. Внедрение инноваций и нового высокотехнологичного оборудования позволяет предприятиям занимать новые ниши на рынке, повышая конкурентоспособность российской промышленности.</w:t>
      </w:r>
    </w:p>
    <w:p w:rsidR="00000000" w:rsidDel="00000000" w:rsidP="00000000" w:rsidRDefault="00000000" w:rsidRPr="00000000" w14:paraId="00000020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21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2">
      <w:pPr>
        <w:ind w:right="560"/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footerReference r:id="rId9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i w:val="1"/>
        <w:color w:val="595959"/>
        <w:rtl w:val="0"/>
      </w:rPr>
      <w:t xml:space="preserve">Пресс-служба НЦФМ</w: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sUZ6G3a+o42TGN65IIkiyJzbDyw==">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