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29.01.24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В турбинном отделении строящегося энергоблока № 1 Курской АЭС-2 завершили монтаж турбоустановки 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/>
      </w:pPr>
      <w:r w:rsidDel="00000000" w:rsidR="00000000" w:rsidRPr="00000000">
        <w:rPr>
          <w:i w:val="1"/>
          <w:rtl w:val="0"/>
        </w:rPr>
        <w:t xml:space="preserve">Первое контрольное событие 2024 года выполнено раньше срока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Монтаж турбоустановки был завершен с выставлением линии вала (это окончательная центровка роторов турбины и генератора, а также выставление всех основных корпусных деталей турбины и генератора). Монтажу предшествовала большая работа: выставление корпусов подшипников, центровка роторов по полумуфтам, выставление цилиндров относительно роторов и т. д.</w:t>
        <w:br w:type="textWrapping"/>
        <w:br w:type="textWrapping"/>
        <w:t xml:space="preserve">По окончании работ была проведена проверка качества — это выполнение и предъявление шеф-инженерам всех формулярных замеров, предусмотренных заводом-изготовителем. Выполнение операции разрешает начало третьего (финального) этапа бетонирования — подливку фундаментных рам и колодцев турбины и генератора. В работах участвовали около 35 человек. </w:t>
        <w:br w:type="textWrapping"/>
        <w:br w:type="textWrapping"/>
        <w:t xml:space="preserve">С момента завершения работ основные части турбоагрегата установлены в проектное положение. Далее будет выполняться точная подгонка некорпусных деталей.</w:t>
        <w:br w:type="textWrapping"/>
        <w:br w:type="textWrapping"/>
        <w:t xml:space="preserve">«Выставление линии вала, как я считаю, самая важная и сложная операция в монтаже турбины. Точность и качество выполнения данной технологической операции напрямую влияют на долговечность и качество работы турбины во время промышленной эксплуатации. Сложность  операции заключается в точности выполнения работ. Для примера — допуск на коленчатость составляет 0,02 мм. Оборудование имеет колоссальные размеры и вес: общая длина линии вала около 58 метров, суммарный вес роторов 800 тонн», — прокомментировал директор Курской АЭС Александр Увакин.</w:t>
        <w:br w:type="textWrapping"/>
        <w:br w:type="textWrapping"/>
        <w:t xml:space="preserve">«Раньше срока эту технологическую операцию удалось закончить благодаря выполнению оптимизации рабочего процесса: четкому распределению обязанностей среди строителей, личной вовлеченности и ответственности всего персонала, большому опыту работы на предыдущих атомных стройках», — рассказал вице-президент АО «Атомстройэкспорт», директор проекта по сооружению Курской АЭС-2 Олег Шперле.</w:t>
        <w:br w:type="textWrapping"/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Справка:</w:t>
      </w:r>
      <w:r w:rsidDel="00000000" w:rsidR="00000000" w:rsidRPr="00000000">
        <w:rPr>
          <w:rtl w:val="0"/>
        </w:rPr>
        <w:t xml:space="preserve"> </w:t>
        <w:br w:type="textWrapping"/>
        <w:br w:type="textWrapping"/>
        <w:t xml:space="preserve">Курская АЭС (г. Курчатов Курской области) — один из крупнейших в Среднерусском Черноземье генерирующих источников электроэнергии. Потребителями ее электроэнергии являются 19 регионов центра России. Станция имеет в своем составе три энергоблока с канальными реакторами общей мощностью 3 млн кВт. Энергоблок № 1 после 45 лет службы с декабря 2021 года находится в режиме эксплуатации без генерации. Энергоблоки станции были подключены к единой энергетической системе страны в 1976, 1979, 1983 и 1985 годах. В 1994–2009 годах все действующие энергоблоки прошли глубокую техническую модернизацию. За годы работы Курская атомная станция выработала свыше 1 трлн кВт · ч электроэнергии. В настоящее время идет сооружение энергоблоков № 1 и 2 станции замещения Курская АЭС-2 с новым типом реактора ВВЭР-ТОИ. Проектный срок их службы составляет 60 лет с возможностью продления еще на 20 лет.</w:t>
        <w:br w:type="textWrapping"/>
        <w:br w:type="textWrapping"/>
        <w:t xml:space="preserve">Российская атомная отрасль трансформировалась из штучного производителя в конвейер атомных технологий, «фабрику реакторов», что позволяет России занимать лидирующие позиции в мире по экспорту атомных технологий. Сегодня доля выработки электроэнергии атомными станциями в энергобалансе России составляет около 20%, а к 2045 году должна достигнуть 25%. Такое поручение было дано Госкорпорации «Росатом» Президентом России.</w:t>
        <w:br w:type="textWrapping"/>
        <w:br w:type="textWrapping"/>
        <w:t xml:space="preserve">Топливно-энергетический комплекс был и остается одной из важнейших составляющих экономики России, влияющей на развитие других отраслей промышленности. Президент и Правительство РФ ставят задачи по его развитию с целью укрепления производственного и технологического потенциала страны, повышения качества жизни граждан России. Росатом и его предприятия принимают активное участие в этой работе.</w:t>
        <w:br w:type="textWrapping"/>
        <w:br w:type="textWrapping"/>
      </w:r>
    </w:p>
    <w:p w:rsidR="00000000" w:rsidDel="00000000" w:rsidP="00000000" w:rsidRDefault="00000000" w:rsidRPr="00000000" w14:paraId="0000000E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59595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i w:val="1"/>
        <w:color w:val="595959"/>
      </w:rPr>
    </w:pPr>
    <w:r w:rsidDel="00000000" w:rsidR="00000000" w:rsidRPr="00000000">
      <w:rPr>
        <w:i w:val="1"/>
        <w:color w:val="595959"/>
        <w:rtl w:val="0"/>
      </w:rPr>
      <w:t xml:space="preserve">Управление коммуникаций Курской АЭС  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basedOn w:val="a0"/>
    <w:uiPriority w:val="99"/>
    <w:unhideWhenUsed w:val="1"/>
    <w:rsid w:val="00C562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a6">
    <w:name w:val="header"/>
    <w:basedOn w:val="a"/>
    <w:link w:val="a7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7" w:customStyle="1">
    <w:name w:val="Верхний колонтитул Знак"/>
    <w:basedOn w:val="a0"/>
    <w:link w:val="a6"/>
    <w:uiPriority w:val="99"/>
    <w:rsid w:val="00C56287"/>
  </w:style>
  <w:style w:type="paragraph" w:styleId="a8">
    <w:name w:val="footer"/>
    <w:basedOn w:val="a"/>
    <w:link w:val="a9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C56287"/>
  </w:style>
  <w:style w:type="character" w:styleId="aa">
    <w:name w:val="FollowedHyperlink"/>
    <w:basedOn w:val="a0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d" w:customStyle="1">
    <w:basedOn w:val="a1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9VfSaqaWNyNSGeDQe6dI1uR/5hA==">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2024-01-29T08:44:00Z</dcterms:created>
  <dc:creator>b v</dc:creator>
</cp:coreProperties>
</file>