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8080" w:leader="none"/>
        </w:tabs>
        <w:spacing w:lineRule="auto" w:line="240" w:before="0" w:after="0"/>
        <w:ind w:left="0" w:right="-22" w:hanging="0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mc:AlternateContent>
          <mc:Choice Requires="wpg">
            <w:drawing>
              <wp:anchor behindDoc="0" distT="0" distB="0" distL="113665" distR="113665" simplePos="0" locked="0" layoutInCell="0" allowOverlap="1" relativeHeight="2">
                <wp:simplePos x="0" y="0"/>
                <wp:positionH relativeFrom="page">
                  <wp:posOffset>4603750</wp:posOffset>
                </wp:positionH>
                <wp:positionV relativeFrom="margin">
                  <wp:posOffset>-529590</wp:posOffset>
                </wp:positionV>
                <wp:extent cx="1987550" cy="3175"/>
                <wp:effectExtent l="0" t="0" r="0" b="0"/>
                <wp:wrapSquare wrapText="bothSides"/>
                <wp:docPr id="1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7560" cy="3240"/>
                          <a:chOff x="0" y="0"/>
                          <a:chExt cx="1987560" cy="32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987560" cy="32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87560" cy="32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Normal1"/>
                                  <w:spacing w:lineRule="exact" w:line="240" w:before="0" w:after="0"/>
                                  <w:ind w:left="0" w:right="0" w:hanging="0"/>
                                  <w:jc w:val="left"/>
                                  <w:rPr/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tIns="-87480" bIns="-87480" anchor="ctr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0" y="0"/>
                              <a:ext cx="1987560" cy="3240"/>
                            </a:xfrm>
                            <a:custGeom>
                              <a:avLst/>
                              <a:gdLst>
                                <a:gd name="textAreaLeft" fmla="*/ 0 w 1126800"/>
                                <a:gd name="textAreaRight" fmla="*/ 1127160 w 1126800"/>
                                <a:gd name="textAreaTop" fmla="*/ 0 h 1800"/>
                                <a:gd name="textAreaBottom" fmla="*/ 2160 h 1800"/>
                              </a:gdLst>
                              <a:ahLst/>
                              <a:rect l="textAreaLeft" t="textAreaTop" r="textAreaRight" b="textAreaBottom"/>
                              <a:pathLst>
                                <a:path w="1987956" h="9144">
                                  <a:moveTo>
                                    <a:pt x="0" y="0"/>
                                  </a:moveTo>
                                  <a:lnTo>
                                    <a:pt x="1987956" y="0"/>
                                  </a:lnTo>
                                  <a:lnTo>
                                    <a:pt x="198795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343433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Фигура1" style="position:absolute;margin-left:362.5pt;margin-top:-41.7pt;width:156.5pt;height:0.25pt" coordorigin="7250,-834" coordsize="3130,5">
                <v:group id="shape_0" style="position:absolute;left:7250;top:-834;width:3130;height:5">
                  <v:rect id="shape_0" ID="Shape 3" path="m0,0l-2147483645,0l-2147483645,-2147483646l0,-2147483646xe" stroked="f" o:allowincell="f" style="position:absolute;left:7250;top:-834;width:3129;height:4;mso-wrap-style:none;v-text-anchor:middle;mso-position-horizontal-relative:page;mso-position-vertical-relative:margin">
                    <v:fill o:detectmouseclick="t" on="false"/>
                    <v:stroke color="#3465a4" joinstyle="round" endcap="flat"/>
                    <v:textbox>
                      <w:txbxContent>
                        <w:p>
                          <w:pPr>
                            <w:pStyle w:val="Normal1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</v:group>
              </v:group>
            </w:pict>
          </mc:Fallback>
        </mc:AlternateContent>
      </w:r>
      <w:sdt>
        <w:sdtPr>
          <w:tag w:val="goog_rdk_0"/>
        </w:sdtPr>
        <w:sdtContent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  <w:t xml:space="preserve">Балаковская АЭС получила лицензию на продление срока эксплуатации энергоблока № 4 </w:t>
          </w:r>
        </w:sdtContent>
      </w:sdt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Срок действия новой лицензии </w:t>
      </w:r>
      <w:r>
        <w:rPr>
          <w:rFonts w:eastAsia="Trebuchet MS" w:cs="Trebuchet MS" w:ascii="Trebuchet MS" w:hAnsi="Trebuchet MS"/>
          <w:i/>
          <w:color w:val="000000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28 лет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sdt>
        <w:sdtPr>
          <w:tag w:val="goog_rdk_1"/>
        </w:sdtPr>
        <w:sdtContent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  <w:t xml:space="preserve">22 декабря 2023 года, в День энергетика Федеральная служба по экологическому, технологическому и атомному надзору (Ростехнадзор) выдала лицензию на дальнейшую эксплуатацию энергоблока № 4 Балаковской АЭС (филиал АО «Концерн Росэнергоатом», входящего в </w:t>
          </w:r>
        </w:sdtContent>
      </w:sdt>
      <w:r>
        <w:rPr>
          <w:rFonts w:eastAsia="Trebuchet MS" w:cs="Trebuchet MS" w:ascii="Trebuchet MS" w:hAnsi="Trebuchet MS"/>
          <w:color w:val="000000"/>
          <w:sz w:val="24"/>
          <w:szCs w:val="24"/>
        </w:rPr>
        <w:t>э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лектроэнергетический дивизион Госкорпорации «Росатом») до 2051 года.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Срок действия новой лицензии </w:t>
      </w:r>
      <w:r>
        <w:rPr>
          <w:rFonts w:eastAsia="Trebuchet MS" w:cs="Trebuchet MS" w:ascii="Trebuchet MS" w:hAnsi="Trebuchet MS"/>
          <w:color w:val="000000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28 лет. Увеличение расчетного срока эксплуатации уже действующих энергоблоков предусмотрено Федеральной целевой программой по развитию атомной энергетики.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sdt>
        <w:sdtPr>
          <w:tag w:val="goog_rdk_2"/>
        </w:sdtPr>
        <w:sdtContent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  <w:t xml:space="preserve">Напомним, что первые три энергоблока Балаковской АЭС уже работают в дополнительный срок эксплуатации: энергоблок № 1 получил лицензию в декабре 2015 года сроком на 30 лет; энергоблок № 2 </w:t>
          </w:r>
        </w:sdtContent>
      </w:sdt>
      <w:r>
        <w:rPr>
          <w:rFonts w:eastAsia="Trebuchet MS" w:cs="Trebuchet MS" w:ascii="Trebuchet MS" w:hAnsi="Trebuchet MS"/>
          <w:color w:val="000000"/>
          <w:sz w:val="24"/>
          <w:szCs w:val="24"/>
        </w:rPr>
        <w:t>—</w:t>
      </w:r>
      <w:sdt>
        <w:sdtPr>
          <w:tag w:val="goog_rdk_3"/>
        </w:sdtPr>
        <w:sdtContent>
          <w:r>
            <w:rPr>
              <w:rFonts w:eastAsia="Trebuchet MS" w:cs="Trebuchet MS" w:ascii="Trebuchet MS" w:hAnsi="Trebuchet MS"/>
              <w:color w:val="000000"/>
              <w:sz w:val="24"/>
              <w:szCs w:val="24"/>
            </w:rPr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  <w:t xml:space="preserve"> в октябре 2017 года, на 26 лет; энергоблок № 3 </w:t>
          </w:r>
        </w:sdtContent>
      </w:sdt>
      <w:r>
        <w:rPr>
          <w:rFonts w:eastAsia="Trebuchet MS" w:cs="Trebuchet MS" w:ascii="Trebuchet MS" w:hAnsi="Trebuchet MS"/>
          <w:color w:val="000000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в декабре 2018 года, на 30 лет. Таким образом, суммарное количество продл</w:t>
      </w:r>
      <w:r>
        <w:rPr>
          <w:rFonts w:eastAsia="Trebuchet MS" w:cs="Trebuchet MS" w:ascii="Trebuchet MS" w:hAnsi="Trebuchet MS"/>
          <w:color w:val="000000"/>
          <w:sz w:val="24"/>
          <w:szCs w:val="24"/>
        </w:rPr>
        <w:t>е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нных для всех </w:t>
      </w:r>
      <w:r>
        <w:rPr>
          <w:rFonts w:eastAsia="Trebuchet MS" w:cs="Trebuchet MS" w:ascii="Trebuchet MS" w:hAnsi="Trebuchet MS"/>
          <w:color w:val="000000"/>
          <w:sz w:val="24"/>
          <w:szCs w:val="24"/>
        </w:rPr>
        <w:t>четырех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энергоблоков Балаковской АЭС лет составило 114, что равносильно вводу двух новых энергоблоков-гигантов.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sdt>
        <w:sdtPr>
          <w:tag w:val="goog_rdk_4"/>
        </w:sdtPr>
        <w:sdtContent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  <w:t>Энергоблок № 4 Балаковской АЭС отработал безопасно и надежно 30 лет, предусмотренных проектом. За время эксплуатации выдал в энергосистему страны свыше 222,820 млрд кВт · ч электроэнергии.</w:t>
          </w:r>
        </w:sdtContent>
      </w:sdt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«Проектные характеристики и физические параметры энергоблока приведены к современным стандартам и требованиям. Достигнуто такое техническое состояние оборудования, которое позволяет работать еще надежнее и безопаснее в дополнительный период. Безусловно, это большой успех всего коллектива атомной станции, Концерна </w:t>
      </w:r>
      <w:r>
        <w:rPr>
          <w:rFonts w:eastAsia="Trebuchet MS" w:cs="Trebuchet MS" w:ascii="Trebuchet MS" w:hAnsi="Trebuchet MS"/>
          <w:color w:val="000000"/>
          <w:sz w:val="24"/>
          <w:szCs w:val="24"/>
        </w:rPr>
        <w:t>„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Росэнергоатом</w:t>
      </w:r>
      <w:r>
        <w:rPr>
          <w:rFonts w:eastAsia="Trebuchet MS" w:cs="Trebuchet MS" w:ascii="Trebuchet MS" w:hAnsi="Trebuchet MS"/>
          <w:color w:val="000000"/>
          <w:sz w:val="24"/>
          <w:szCs w:val="24"/>
        </w:rPr>
        <w:t>“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, задействованных научно-исследовательских институтов, проектных и конструкторских организаций, производителей оборудования, монтажных и ремонтных компаний нашей страны», </w:t>
      </w:r>
      <w:r>
        <w:rPr>
          <w:rFonts w:eastAsia="Trebuchet MS" w:cs="Trebuchet MS" w:ascii="Trebuchet MS" w:hAnsi="Trebuchet MS"/>
          <w:color w:val="000000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подчеркнул директор Балаковской АЭС </w:t>
      </w: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Валерий Бессонов.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Инвестиционный проект реализовывался силами Московского проектного института АО «Атомэнергопроект» (входит в </w:t>
      </w:r>
      <w:r>
        <w:rPr>
          <w:rFonts w:eastAsia="Trebuchet MS" w:cs="Trebuchet MS" w:ascii="Trebuchet MS" w:hAnsi="Trebuchet MS"/>
          <w:color w:val="000000"/>
          <w:sz w:val="24"/>
          <w:szCs w:val="24"/>
        </w:rPr>
        <w:t>и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нжиниринговый дивизион Госкорпорации «Росатом»). Подготовка к получению новой лицензии велась с 2011 года. За этот период был разработан отчет по углубленной оценке безопасности, проведена оценка технического состояния всех систем, важных для безопасности, поэтапно реализованы масштабные мероприятия по модернизации и замене оборудования.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sdt>
        <w:sdtPr>
          <w:tag w:val="goog_rdk_5"/>
        </w:sdtPr>
        <w:sdtContent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  <w:t>На повышение безопасности и надежности энергоблока № 4 Балаковской АЭС направлено более 10 млрд рублей. Эти инвестиционные затраты в 6</w:t>
          </w:r>
        </w:sdtContent>
      </w:sdt>
      <w:r>
        <w:rPr>
          <w:rFonts w:eastAsia="Trebuchet MS" w:cs="Trebuchet MS" w:ascii="Trebuchet MS" w:hAnsi="Trebuchet MS"/>
          <w:color w:val="000000"/>
          <w:sz w:val="24"/>
          <w:szCs w:val="24"/>
        </w:rPr>
        <w:t>–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10 раз ниже, чем при постройке энергоблока такой же мощности с нуля. Техническое переоснащение энергоблока провели в течение нескольких ремонтных кампаний. Только в ходе одного планового ремонта модернизировали около 3000 единиц оборудования.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В частности, заменили стеллажи бассейна выдержки на стеллажи для уплотненного хранения отработанного ядерного топлива, а также конструкции отсеков хранения тепловыделяющих сборок. Модернизировали системы управления и защиты реактора, радиационного контроля и системы управления технологическими защитами, блокировками и сигнализаци</w:t>
      </w:r>
      <w:r>
        <w:rPr>
          <w:rFonts w:eastAsia="Trebuchet MS" w:cs="Trebuchet MS" w:ascii="Trebuchet MS" w:hAnsi="Trebuchet MS"/>
          <w:color w:val="000000"/>
          <w:sz w:val="24"/>
          <w:szCs w:val="24"/>
        </w:rPr>
        <w:t>ей</w:t>
      </w:r>
      <w:r>
        <w:rPr>
          <w:rFonts w:eastAsia="Trebuchet MS" w:cs="Trebuchet MS" w:ascii="Trebuchet MS" w:hAnsi="Trebuchet M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sdt>
        <w:sdtPr>
          <w:tag w:val="goog_rdk_6"/>
        </w:sdtPr>
        <w:sdtContent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vertAlign w:val="baseline"/>
            </w:rPr>
            <w:t>Новое оборудование энергоблока № 4 обладает более высокими техническими характеристиками и надежностью, при этом позволяет сохранить проектные решения (алгоритмы защит и блокировок), принятые для Балаковской АЭС.</w:t>
          </w:r>
        </w:sdtContent>
      </w:sdt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rebuchet MS" w:hAnsi="Trebuchet MS" w:eastAsia="Trebuchet MS" w:cs="Trebuchet MS"/>
          <w:b/>
          <w:i/>
          <w:i/>
          <w:color w:val="000000"/>
          <w:sz w:val="24"/>
          <w:szCs w:val="24"/>
        </w:rPr>
      </w:pPr>
      <w:r>
        <w:rPr>
          <w:rFonts w:eastAsia="Trebuchet MS" w:cs="Trebuchet MS" w:ascii="Trebuchet MS" w:hAnsi="Trebuchet MS"/>
          <w:b/>
          <w:i/>
          <w:color w:val="000000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rebuchet MS" w:cs="Trebuchet MS" w:ascii="Trebuchet MS" w:hAnsi="Trebuchet MS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Для справки: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rebuchet MS" w:cs="Trebuchet MS" w:ascii="Trebuchet MS" w:hAnsi="Trebuchet MS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Балаковская АЭС</w:t>
      </w: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является филиалом АО «Концерн Росэнергоатом» (входит в крупнейший дивизион Госкорпорации «Росатом» </w:t>
      </w:r>
      <w:r>
        <w:rPr>
          <w:rFonts w:eastAsia="Trebuchet MS" w:cs="Trebuchet MS" w:ascii="Trebuchet MS" w:hAnsi="Trebuchet MS"/>
          <w:i/>
          <w:color w:val="000000"/>
          <w:sz w:val="24"/>
          <w:szCs w:val="24"/>
        </w:rPr>
        <w:t>— э</w:t>
      </w: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лектроэнергетический).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 установленной электрической мощностью по 1000 МВт каждый. Первый энергоблок введен в эксплуатацию в 1985 г., второй </w:t>
      </w:r>
      <w:r>
        <w:rPr>
          <w:rFonts w:eastAsia="Trebuchet MS" w:cs="Trebuchet MS" w:ascii="Trebuchet MS" w:hAnsi="Trebuchet MS"/>
          <w:i/>
          <w:color w:val="000000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в 1987-м, третий </w:t>
      </w:r>
      <w:r>
        <w:rPr>
          <w:rFonts w:eastAsia="Trebuchet MS" w:cs="Trebuchet MS" w:ascii="Trebuchet MS" w:hAnsi="Trebuchet MS"/>
          <w:i/>
          <w:color w:val="000000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в 1988-м и четвертый </w:t>
      </w:r>
      <w:r>
        <w:rPr>
          <w:rFonts w:eastAsia="Trebuchet MS" w:cs="Trebuchet MS" w:ascii="Trebuchet MS" w:hAnsi="Trebuchet MS"/>
          <w:i/>
          <w:color w:val="000000"/>
          <w:sz w:val="24"/>
          <w:szCs w:val="24"/>
        </w:rPr>
        <w:t>—</w:t>
      </w: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в 1993 г. Балаковская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Центра, Урала и Сибири.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Сегодня Россия продолжает обеспечивать стабильную энергетическую безопасность. Отечественный топливно-энергетический комплекс работает на повышение конкурентоспособности национальной экономики, </w:t>
      </w:r>
      <w:r>
        <w:rPr>
          <w:rFonts w:eastAsia="Trebuchet MS" w:cs="Trebuchet MS" w:ascii="Trebuchet MS" w:hAnsi="Trebuchet MS"/>
          <w:i/>
          <w:color w:val="000000"/>
          <w:sz w:val="24"/>
          <w:szCs w:val="24"/>
        </w:rPr>
        <w:t>на улучшение качества жизни граждан</w:t>
      </w: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, способствует развитию и благоустройству регионов страны, городов, пос</w:t>
      </w:r>
      <w:r>
        <w:rPr>
          <w:rFonts w:eastAsia="Trebuchet MS" w:cs="Trebuchet MS" w:ascii="Trebuchet MS" w:hAnsi="Trebuchet MS"/>
          <w:i/>
          <w:color w:val="000000"/>
          <w:sz w:val="24"/>
          <w:szCs w:val="24"/>
        </w:rPr>
        <w:t>е</w:t>
      </w: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лков. Сейчас доля выработки электроэнергии атомными станциями в энергобалансе России составляет около 20%, а к 2045 году она должна достигнуть 25% в соответствии с поручением Президента России, данн</w:t>
      </w:r>
      <w:r>
        <w:rPr>
          <w:rFonts w:eastAsia="Trebuchet MS" w:cs="Trebuchet MS" w:ascii="Trebuchet MS" w:hAnsi="Trebuchet MS"/>
          <w:i/>
          <w:color w:val="000000"/>
          <w:sz w:val="24"/>
          <w:szCs w:val="24"/>
        </w:rPr>
        <w:t>ым</w:t>
      </w:r>
      <w:r>
        <w:rPr>
          <w:rFonts w:eastAsia="Trebuchet MS" w:cs="Trebuchet MS" w:ascii="Trebuchet MS" w:hAnsi="Trebuchet MS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Госкорпорации «Росатом».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120" w:after="120"/>
        <w:ind w:left="0" w:right="-17" w:hanging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990" w:right="849" w:gutter="0" w:header="0" w:top="851" w:footer="0" w:bottom="848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satom">
    <w:charset w:val="01"/>
    <w:family w:val="swiss"/>
    <w:pitch w:val="default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Trebuchet M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left="0" w:right="1501" w:hanging="0"/>
      <w:jc w:val="left"/>
      <w:rPr>
        <w:rFonts w:ascii="Rosatom" w:hAnsi="Rosatom" w:eastAsia="Rosatom" w:cs="Rosatom"/>
        <w:b w:val="false"/>
        <w:i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Rosatom" w:cs="Rosatom"/>
        <w:b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satom" w:hAnsi="Rosatom" w:eastAsia="Rosatom" w:cs="Rosatom"/>
        <w:color w:val="343433"/>
        <w:sz w:val="18"/>
        <w:szCs w:val="18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18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18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18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Содержимое врезки"/>
    <w:basedOn w:val="Normal"/>
    <w:qFormat/>
    <w:pPr/>
    <w:rPr/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Style16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fYwx3+JXbyRoZi6/LTvDwuJsZOg==">CgMxLjAaIAoBMBIbChkIB0IVCgxUcmVidWNoZXQgTVMSBUFyaWFsGiAKATESGwoZCAdCFQoMVHJlYnVjaGV0IE1TEgVBcmlhbBogCgEyEhsKGQgHQhUKDFRyZWJ1Y2hldCBNUxIFQXJpYWwaIAoBMxIbChkIB0IVCgxUcmVidWNoZXQgTVMSBUFyaWFsGiAKATQSGwoZCAdCFQoMVHJlYnVjaGV0IE1TEgVBcmlhbBogCgE1EhsKGQgHQhUKDFRyZWJ1Y2hldCBNUxIFQXJpYWwaIAoBNhIbChkIB0IVCgxUcmVidWNoZXQgTVMSBUFyaWFsOABqIwoUc3VnZ2VzdC5xcGpxcWtndmw1aGwSC1N0cmFuZ2UgQ2F0aiMKFHN1Z2dlc3Quajlod3kzaHpmM3JwEgtTdHJhbmdlIENhdGojChRzdWdnZXN0LndpZ3Y1YnFsMTZqOBILU3RyYW5nZSBDYXRqIwoUc3VnZ2VzdC4xdWpjejc4aXp6ZW4SC1N0cmFuZ2UgQ2F0aiMKFHN1Z2dlc3QuaHlxYzZ5YnhsbndnEgtTdHJhbmdlIENhdGojChRzdWdnZXN0LjN4NnVkMXBqaHFvcxILU3RyYW5nZSBDYXRqIwoUc3VnZ2VzdC50NWJzN3NrbzV6MTYSC1N0cmFuZ2UgQ2F0aiMKFHN1Z2dlc3QuaTlvOG5icXBrb2p3EgtTdHJhbmdlIENhdGojChRzdWdnZXN0LmloYWtibXF6aTk1bBILU3RyYW5nZSBDYXRqIwoUc3VnZ2VzdC5zeGlmb3kxOTU3MXASC1N0cmFuZ2UgQ2F0aiMKFHN1Z2dlc3QubDZ2ZjE4cGc4MHlwEgtTdHJhbmdlIENhdGojChRzdWdnZXN0Lnhzem9sdXc0d2Z1axILU3RyYW5nZSBDYXRqIwoUc3VnZ2VzdC5jMDQxbnU0djZybHkSC1N0cmFuZ2UgQ2F0aiMKFHN1Z2dlc3QudnFrYmF6NnVoY2h0EgtTdHJhbmdlIENhdGojChRzdWdnZXN0LmoweGFiNmF1YWt3OBILU3RyYW5nZSBDYXRqIwoUc3VnZ2VzdC5tMDRzcnEzbXoyeWoSC1N0cmFuZ2UgQ2F0aiMKFHN1Z2dlc3QudWlrazZxcHQ3ZngxEgtTdHJhbmdlIENhdGojChRzdWdnZXN0LnowYTU5N3Ixa3ZpZhILU3RyYW5nZSBDYXRqIwoUc3VnZ2VzdC5lNDdxanZscDBiMTYSC1N0cmFuZ2UgQ2F0aiMKFHN1Z2dlc3QudmM2bGt4cmp1cWl4EgtTdHJhbmdlIENhdGojChRzdWdnZXN0LnJ3MHkxNWExa2ttNxILU3RyYW5nZSBDYXRqIwoUc3VnZ2VzdC56OXU2ZTc1c2pvd3USC1N0cmFuZ2UgQ2F0aiMKFHN1Z2dlc3QuZDBrOGJ2ZGJqOXdoEgtTdHJhbmdlIENhdGojChRzdWdnZXN0LmpiMDYyZWdxMzN5OBILU3RyYW5nZSBDYXRqIwoUc3VnZ2VzdC4xazBxYWx2Y2o2czgSC1N0cmFuZ2UgQ2F0aiMKFHN1Z2dlc3QuZDAzYW9pYmRqNGtuEgtTdHJhbmdlIENhdGojChRzdWdnZXN0LjlndnY5ZHA0NXoyZBILU3RyYW5nZSBDYXRqIwoUc3VnZ2VzdC42dWZhNWN3cjYzbWMSC1N0cmFuZ2UgQ2F0aiMKFHN1Z2dlc3QucGw2dzIyMjZubmpmEgtTdHJhbmdlIENhdGojChRzdWdnZXN0LmtpOWt5azkza3o3aRILU3RyYW5nZSBDYXRqIwoUc3VnZ2VzdC5vdTBld2loam1yZWISC1N0cmFuZ2UgQ2F0aiMKFHN1Z2dlc3QuYnU5Z28zcTFlZ3dwEgtTdHJhbmdlIENhdGojChRzdWdnZXN0LnVsMmFpNTg1bzgxchILU3RyYW5nZSBDYXRqIwoUc3VnZ2VzdC40bXg1MDBtaDVubTMSC1N0cmFuZ2UgQ2F0aiMKFHN1Z2dlc3Qub2U0cHV4cW1vYnNnEgtTdHJhbmdlIENhdHIhMVU4VGRLcXMtdjUwTVVsQlBic0ZUYVBZQzkyVkFXZUV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549</Words>
  <Characters>3955</Characters>
  <CharactersWithSpaces>4509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