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791970" cy="5422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Справка о Национальном центре физики и математики (НЦФМ)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Десятилетие науки и технологий в России (2022</w:t>
      </w:r>
      <w:r>
        <w:rPr>
          <w:rFonts w:eastAsia="Arial" w:cs="Arial" w:ascii="Arial" w:hAnsi="Arial"/>
          <w:sz w:val="24"/>
          <w:szCs w:val="24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2031, стартовавшее по Указу Президента)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это масштабная программа инициатив, проектов и мероприятий по ускоренному развитию экономики и социальной сферы через усиление роли науки и науко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мких технологий в решении важнейших задач развития общества и страны.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Открытие в России новой научно-исследовательской инфраструктуры </w:t>
      </w:r>
      <w:r>
        <w:rPr>
          <w:rFonts w:eastAsia="Arial" w:cs="Arial" w:ascii="Arial" w:hAnsi="Arial"/>
          <w:b/>
          <w:sz w:val="24"/>
          <w:szCs w:val="24"/>
        </w:rPr>
        <w:t>—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одна из ключевых инициатив Десятилетия. Флагманским проектом этой инициативы является создание Национального центра физики и математики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(НЦФМ) в Сарове Нижегородской области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«научного городка XXI века». НЦФМ созда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тся недалеко от сильных научных центров: </w:t>
      </w:r>
      <w:r>
        <w:rPr>
          <w:rFonts w:eastAsia="Arial" w:cs="Arial" w:ascii="Arial" w:hAnsi="Arial"/>
          <w:sz w:val="24"/>
          <w:szCs w:val="24"/>
        </w:rPr>
        <w:t>рядом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 РФЯЦ-ВНИИЭФ и нижегородскими научно-исследовательскими организациями, в нескольких сотнях километров от Москвы, Дубны и других городов с известными научными школами.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НЦФМ созда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тся по поручению Президента Российской Федерации (поручения от 28.11.2020 № Пр-1992, № Пр-1993, № Пр-1994, № Пр-1995, № Пр-1996, а также от 05.06.2021 № Пр-987) в г. Сарове Нижегородской области. Проект «Создание Национального центра физики и математики» сформирован как федеральный проект и включен отдельным структурным элементом в части создания имущественного комплекса в государственную программу «Развитие атомного энергопромышленного комплекса», в части реализации научной программы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 государственную программу «Научно-технологическое развитие».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Основными целями НЦФМ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являются получение новых научных результатов мирового уровня, подготовка 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ных высшей квалификации, а также укрепление кадрового потенциала предприятий Госкорпорации «Росатом» и сферы научных исследований и разработок Российской Федерации.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НЦФМ призван стать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местом научного прорыва в фундаментальных исследованиях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первом этапе — за 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 использования мощного научного потенциала, уникальной исследовательской инфраструктуры и высококвалифицированных кадров прежде всего ФГУП РФЯЦ-ВНИИЭФ и других научных организаций Росатома в кооперации с ведущими вузами и академическими институтами страны;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втором этапе — за 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 реализации проектов класса «миди-сайенс»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 «мегасайенс», которые приведут к формированию в стране крупного центра компетенций по ряду критически важных направлений для обеспечения научного лидерства России.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НЦФМ создается при поддержке Госкорпорации «Росатом», Российской академии наук, Минобрнауки России, МГУ им. М. В. Ломоносова, РФЯЦ-ВНИИЭФ, НИЦ «Курчатовский институт» и Объединенного института ядерных исследований.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Образовательным ядром НЦФМ является созданный в 2021 году в рамках «быстрого старта» НЦФМ филиал МГУ им. М. В. Ломоносова в г. Сарове.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Уже сейчас в </w:t>
      </w:r>
      <w:r>
        <w:rPr>
          <w:rFonts w:eastAsia="Arial" w:cs="Arial" w:ascii="Arial" w:hAnsi="Arial"/>
          <w:sz w:val="24"/>
          <w:szCs w:val="24"/>
        </w:rPr>
        <w:t xml:space="preserve">этом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филиале учатся около сотни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2363A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магистрантов и аспирантов. Филиал создан для подготовки специалистов в перспективных областях физики, математики, информатики и суперкомпьютерных технологий. На основе лучших мировых научных и образовательных практик созданы магистерские программы «Вычислительные методы и методика моделирования», «Экстремальные электромагнитные поля, релятивистская плазма и аттосекундная физика», «Лазерная нелинейная оптика и фотоника», «Теоретическая физика» и «Суперкомпьютерные технологии и фундаментальная информатика». Преподаватели МГУ Саров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это академики и члены-корреспонденты РАН, профессора головной площадки МГУ и исследователи Федерального ядерного центра в Сарове. Студенты проходят практику на лабораторных установках под руководством ведущих ученых РФЯЦ ВНИИЭФ. В июне 2023 года состоится первый выпуск магистров МГУ Саров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46 человек, большинство из которых планируют свою дальнейшую трудовую деятельность в научном контуре НЦФМ и на предприятиях Госкорпорации «Росатом»: ВНИИЭФ, ВНИИА им. Духова и други</w:t>
      </w:r>
      <w:r>
        <w:rPr>
          <w:rFonts w:eastAsia="Arial" w:cs="Arial" w:ascii="Arial" w:hAnsi="Arial"/>
          <w:sz w:val="24"/>
          <w:szCs w:val="24"/>
        </w:rPr>
        <w:t>х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На территории образовательного ядра НЦФМ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МГУ Саров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уже создана комфортная среда для жизни и старта серь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зной исследовательской работы. Студенты и аспиранты МГУ Саров живут в таунхаусах и апарт-комплексе рядом с хвойным лесом и озером. Учебный корпус </w:t>
      </w:r>
      <w:r>
        <w:rPr>
          <w:rFonts w:eastAsia="Arial" w:cs="Arial" w:ascii="Arial" w:hAnsi="Arial"/>
          <w:sz w:val="24"/>
          <w:szCs w:val="24"/>
        </w:rPr>
        <w:t>ф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илиала оборудован современными кабинетами, двумя молод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жными лабораториями МГУ Саров и компьютерным классом. Учащиеся кооперируются и активно создают студенческие клубы по интересам: от наблюдения в телескоп за зв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здами и работы в Студенческом научном обществе МГУ Саров до игры в волейбол на спортплощадке и обсуждения кинофильмов.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2022 году стартовала реализация научной программы НЦФМ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по 10 перспективным научным направлениям: от искусственного интеллекта и суперкомпьютерного моделирования до лазерной физики и космологии. Е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реализует научная кооперация из более чем 50 институтов РАН, ведущих университетов и высокотехнологичных компаний России на экспериментальной и расч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тной базе этих организаций, в том числе на открытой части оборудования Российского федерального ядерного центра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ВНИИЭФ и Российского федерального ядерного центра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ВНИИТФ. Например, в рамках научной программы 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ные уже соединяют системы искусственного интеллекта с биологическими для развития возможностей человеческого тела и готовятся выращивать растения в космосе ради освоения лунных ресурсов.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Советом по развитию НЦФМ утверждены Программа развития НЦФМ и Научная программа НЦФМ, включающая 10 направлений: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Национальный центр исследования архитектур суперкомпьютеров.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Математическое моделирование на супер-ЭВМ экса- и зеттафлопсной производительности.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Газодинамика и физика взрыва.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Физика высоких плотностей энергии.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Физика частиц и космология.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Ядерная и радиационная физика.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Исследования в сильных и сверхсильных магнитных полях.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Физика изотопов водорода.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Искусственный интеллект и большие данные в технических, промышленных, природных и социальных системах.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Экспериментальная лабораторная астрофизика и геофизика.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Распоряжениями Правительства Российской Федерации: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утвержден перечень экспериментальных установок и вычислительных комплексов федеральных государственных унитарных предприятий, которым присвоен статус федеральной ядерной организации, для проведения экспериментальных исследований (распоряжение Правительства Российской Федерации от 17.11.2021 № 3231-р);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утвержден состав Совета по развитию НЦФМ (распоряжение Правительства Российской Федерации от 01.11.2021 № 3108-р);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определены источники и объем финансирования строительства первой очереди имущественного комплекса НЦФМ (распоряжение Правительства Российской Федерации от 14.10.2021 № 2895-р).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Избранные результаты научной программы НЦФМ за 2022 год, ряд из которых достигнут впервые в мире: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 помощью систем искусственного интеллекта 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ные разработали методы и алгоритмы сбора, хранения, накопления, интеграции и анализа информации о состоянии здоровья и образе жизни человека. Эта информация позволит формировать рекомендации по снижению рисков психофизиологических заболеваний.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Впервые провед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 взрывной эксперимент, в котором одновременно зарегистрированы сжимаемость, яркостная температура и массовая скорость неидеальной плазмы гелия при давлении 2 миллиона атмосфер. Эта фундаментальная информация о свойствах гелия нужна, чтобы повысить точность моделирования физических схем перспективных устройств для инерциального управляемого термоядерного синтеза — для получения энергии будущего.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ные представили перспективы поиска процессов рождения л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гкой </w:t>
      </w:r>
      <w:r>
        <w:rPr>
          <w:rFonts w:eastAsia="Arial" w:cs="Arial" w:ascii="Arial" w:hAnsi="Arial"/>
          <w:sz w:val="24"/>
          <w:szCs w:val="24"/>
        </w:rPr>
        <w:t>те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мной материи, которая недоступна для прямого наблюдения, в экспериментах на перспективной российской установке класса «мегасайенс» — электрон-позитронном коллайдере, который планируется создать на территории НЦФМ.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ные создают данную установку класса «мег</w:t>
      </w:r>
      <w:r>
        <w:rPr>
          <w:rFonts w:eastAsia="Arial" w:cs="Arial" w:ascii="Arial" w:hAnsi="Arial"/>
          <w:sz w:val="24"/>
          <w:szCs w:val="24"/>
        </w:rPr>
        <w:t>ас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айенс» также в поисках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овой физики для изучения процессов рождения очарованных кварков и тау-лептонов. На установке будет получен набор данных, превосходящий на два порядка по объ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му существующую информацию. Для достижения максимальной светимости разработан проект системы финального фокуса места встречи электрон-позитронных пучков на основе принципиально новой схемы их столкновения.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Для получения новых данных по ядерным реакциям «зажигания» термоядерного топлива создан шестидетекторный спектрометр заряженных частиц. Нижняя граница регистрации заряженных частиц спектрометра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2000 кэВ, что превосходит характеристики зарубежных аналогов. Результаты будут использованы для тестирования современных теорий ядерных реакций, структуры атомного ядра, а также в следующих исследованиях по фундаментальной ядерной физике, астрофизике и работах по управляемому термоядерному синтезу.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Молекула углекислого газа стабильна в обычных условиях, но при высоких давлениях демонстрирует сложное химическое поведение, что является одной из принципиальных задач физики тв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рдого тела, наук о Земле и химической космологии. 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ные в НЦФМ </w:t>
      </w:r>
      <w:r>
        <w:rPr>
          <w:rFonts w:eastAsia="Arial" w:cs="Arial" w:ascii="Arial" w:hAnsi="Arial"/>
          <w:sz w:val="24"/>
          <w:szCs w:val="24"/>
        </w:rPr>
        <w:t xml:space="preserve">впервые в мире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исследовали физические свойства углекислого газа при неисследованном ранее сверхвысоком давлении, созданном с использованием устройства изоэнтропического сжатия на основе взрывомагнитного генератора,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около 4 Мбар.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Вычислительные устройства, устроенные наподобие деятельности нашего мозга, более скоростные и энергоэффективные. Для реализации таких электронных систем с новой элементарной базой 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ные разработали научно-технологические решения по созданию мемристивных наноструктур, на основе которых моделируются элементы, выполняющие функции искусственных синапсов и нейронов человеческого мозга, а также по их интеграции в базовый технологический процесс по созданию полупроводниковых технологий построения интегральных микросхем.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ные провели работы по созданию квантово-каскадных лазеров среднего инфракрасного диапазона, адаптивных систем нового поколения; проведены эксперименты по управлению перекачкой энергии в пересекающихся в плазме лазерных пучков; развита технология производства мишеней заданной плотности, эффективных конвертеров излучения, исследованы новые режимы сжатия при высоких плотностях энергии. Эти результаты позволят улучшить характеристики установок, в которых используются лазерные технологии.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Разработана физическая схема оптической нейронной сети на основе Фурье-коррелятора для распознавания объектов в видеопотоке. Создан демонстрационный образец этой оптической нейронной сети, подтвердивший работоспособность выбранной схемы. На примере задачи распознавания рукописных символов образец продемонстрировал над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жность распознавания в 91%. С 2023 по 2025 год будут разработаны экспериментальные образцы аналоговых фотонных сопроцессоров, которые помогут решить приоритетные прикладные задачи по направлению НЦФМ по исследованию архитектур суперкомпьютеров: оптическая локация объектов, обработка гиперспектрограмм и обработка радиолокационных данных.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Выполнен комплекс работ по созданию и развитию современных методов математического моделирования физических процессов в интересах решения промышленных задач: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Решение комплексных систем линейных алгебраических уравнений для стационарных задач электромагнитного излучения.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 эффективной поверхности рассеяния электромагнитных волн на сложных технических изделиях на основе итерационных методов с использованием мозаично-скелетон</w:t>
      </w:r>
      <w:r>
        <w:rPr>
          <w:rFonts w:eastAsia="Arial" w:cs="Arial" w:ascii="Arial" w:hAnsi="Arial"/>
          <w:sz w:val="24"/>
          <w:szCs w:val="24"/>
        </w:rPr>
        <w:t>ных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аппроксимаций.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Моделирование образования капель в результате срыва тонкой пл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нки с криволинейной поверхности для задач авиадвигателестроения.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4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Апробация подходов к ускорению мультифизичных расч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тов на примере кинетики горения водородосодержащей смеси с использованием методов машинного обучения и др.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рамках НЦФМ к 2023 году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создано шесть молод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жных лабораторий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за сч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т средств федерального бюджета в нижегородских институтах из научной кооперации НЦФМ: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моделирования плазменных геофизических и астрофизических явлений.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газодинамики и физики взрыва.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Лаборатория математического моделирования в индустриальных и фундаментальных исследованиях.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искусственного интеллекта и обработки больших массивов данных.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перспективных лазерных систем среднего и дальнего инфракрасного диапазона.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Tera Light (Лаборатория нелинейной терагерцовой фотоники).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Помимо фундаментальных исследований большой объем работ под эгидой НЦФМ связан с реализаций задач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по обеспечению технологического суверенитета страны.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Национальный центр ведет плотное взаимодействие с Институтом трансфера технологий АО «Русатом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РДС».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Трансфер технологий представляет собой перенос разработок из сферы науки в реальный сектор экономики в форме конечного продукта, который можно использовать на производстве в практических целях. Новый Институт трансфера технологий (ИТТ) АО «Русатом РДС» создан на основе лучших мировых практик. Цель создания Института — ввод в гражданский оборот технологий военного и двойного назначения, имеющихся на предприятиях ядерно-оружейного комплекса, а также разрабатываемых в Национальном центре физики и математики (НЦФМ).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Основные направления деятельности ИТТ: новая энергетика, водородная энергетика, ветроэнергетика, накопители энергии, переработка отходов, аддитивные технологии, станкостроение, робототехника, приборостроение, цифровое моделирование, ядерная медицина, медицинское оборудование, лазерные технологии, сверхпроводимость, нефтегазосервис и электротехника. Запланированный объем контрактов, связанных с производством гражданской продукции, реализуемых с помощью механизма трансфера технологий, должен составить 150 млрд рублей к 2030 году.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Ключевые проекты НЦФМ с ИТТ АО «Русатом РДС»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Разработка рентгеновского литографа для производства отечественной электронно-компонентной базы.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Создание цифровых двойников ренгтгеновского литографа и атомной станции малой мощности четв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ртого поколения.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Разработка прототипа системы здоровьесбережения с формированием цифрового профиля здоровья для каждого человека.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Разработка системы автономной навигации космических аппаратов по рентгеновским пульсарам.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Ближайшие задачи НЦФМ: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 2023</w:t>
      </w:r>
      <w:r>
        <w:rPr>
          <w:rFonts w:eastAsia="Arial" w:cs="Arial" w:ascii="Arial" w:hAnsi="Arial"/>
          <w:sz w:val="24"/>
          <w:szCs w:val="24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2025 годах на кампусе НЦФМ построят новое жиль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для студентов и преподавателей, Центр коллективного пользования, Центр конгрессов и первые научные лаборатории. Создаваемые лаборатории станут основой для реализации флагманских проектов НЦФМ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уникальных установок класса «мег</w:t>
      </w:r>
      <w:r>
        <w:rPr>
          <w:rFonts w:eastAsia="Arial" w:cs="Arial" w:ascii="Arial" w:hAnsi="Arial"/>
          <w:sz w:val="24"/>
          <w:szCs w:val="24"/>
        </w:rPr>
        <w:t>ас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айенс».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Планируется создание </w:t>
      </w:r>
      <w:r>
        <w:rPr>
          <w:rFonts w:eastAsia="Arial" w:cs="Arial" w:ascii="Arial" w:hAnsi="Arial"/>
          <w:b/>
          <w:sz w:val="24"/>
          <w:szCs w:val="24"/>
        </w:rPr>
        <w:t>семи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лабораторий «миди-сайенс» на базе НЦФМ в 2023 году для решения конкретных задач: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фотонных вычислительных устройств (создание линейки отечественных аналоговых вычислительных систем для сверхскоростной обработки информационных потоков).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Лаборатория суперкомпьютерных двойников индустриальных объектов (достижение нового уровня отечественных технологий суперкомпьютерного моделирования, ориентированных на супер-ЭВМ пета- и экзафлопсной производительности).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сверхсильных оптических полей (создание перспективных лазерных технологий нового поколения для исследования в интересах отработки составных частей лазерной установки XCELS и постановки критических экспериментов по экзаваттной физике).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ядерной фотоники (создание уникального источника гамма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излучения с энергией квантов 5</w:t>
      </w:r>
      <w:r>
        <w:rPr>
          <w:rFonts w:eastAsia="Arial" w:cs="Arial" w:ascii="Arial" w:hAnsi="Arial"/>
          <w:sz w:val="24"/>
          <w:szCs w:val="24"/>
        </w:rPr>
        <w:t>–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50 МэВ и развертывание экспериментов в новой области физики </w:t>
      </w:r>
      <w:r>
        <w:rPr>
          <w:rFonts w:eastAsia="Arial" w:cs="Arial" w:ascii="Arial" w:hAnsi="Arial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ядерной фотонике для изучения свойств ядерной материи и строения вещества на новом уровне).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сильных магнитных полей (создание уникальной исследовательской базы для развития отечественной микро- и наноэлектроники и сверхпроводниковой техники).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нейроморфного искусственного интеллекта (создание нейроморфных вычислительных систем для решения задач технического зрения, управления робототехническими системами, обработки сигналов в составе инвазивных и неинвазивных нейроинтерфейсов).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Лаборатория моделирования астрофизических и геофизических явлений (исследования астрофизических явлений с экстремальными магнитными и электрическими полями, изучение воздействия пыли на космические аппараты, в том числе по программам пол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тов на Луну и Марс; выявление возможностей адаптации живых систем к изменяющимся условиям, в том числе экстремальным).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hyperlink r:id="rId3">
        <w:r>
          <w:rPr>
            <w:rFonts w:eastAsia="Arial" w:cs="Arial" w:ascii="Arial" w:hAnsi="Arial"/>
            <w:b/>
            <w:color w:val="1155CC"/>
            <w:sz w:val="24"/>
            <w:szCs w:val="24"/>
            <w:u w:val="single"/>
          </w:rPr>
          <w:t>Презентация</w:t>
        </w:r>
      </w:hyperlink>
    </w:p>
    <w:sectPr>
      <w:type w:val="nextPage"/>
      <w:pgSz w:w="11906" w:h="16838"/>
      <w:pgMar w:left="993" w:right="850" w:gutter="0" w:header="0" w:top="1134" w:footer="0" w:bottom="56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Raleway Black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e499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40" w:customStyle="1">
    <w:name w:val="A40"/>
    <w:uiPriority w:val="99"/>
    <w:qFormat/>
    <w:rsid w:val="00c2624d"/>
    <w:rPr>
      <w:rFonts w:cs="Raleway Black"/>
      <w:b/>
      <w:bCs/>
      <w:color w:val="000000"/>
      <w:sz w:val="34"/>
      <w:szCs w:val="34"/>
    </w:rPr>
  </w:style>
  <w:style w:type="character" w:styleId="A23" w:customStyle="1">
    <w:name w:val="A23"/>
    <w:uiPriority w:val="99"/>
    <w:qFormat/>
    <w:rsid w:val="00c2624d"/>
    <w:rPr>
      <w:rFonts w:cs="Raleway Black"/>
      <w:b/>
      <w:bCs/>
      <w:color w:val="000000"/>
      <w:sz w:val="34"/>
      <w:szCs w:val="34"/>
    </w:rPr>
  </w:style>
  <w:style w:type="character" w:styleId="A8" w:customStyle="1">
    <w:name w:val="A8"/>
    <w:uiPriority w:val="99"/>
    <w:qFormat/>
    <w:rsid w:val="00c2624d"/>
    <w:rPr>
      <w:rFonts w:cs="Raleway"/>
      <w:color w:val="000000"/>
      <w:sz w:val="50"/>
      <w:szCs w:val="50"/>
    </w:rPr>
  </w:style>
  <w:style w:type="character" w:styleId="Style8" w:customStyle="1">
    <w:name w:val="Основной текст_"/>
    <w:basedOn w:val="DefaultParagraphFont"/>
    <w:link w:val="11"/>
    <w:qFormat/>
    <w:rsid w:val="00c2624d"/>
    <w:rPr>
      <w:rFonts w:ascii="Times New Roman" w:hAnsi="Times New Roman" w:eastAsia="Times New Roman" w:cs="Times New Roman"/>
      <w:shd w:fill="FFFFFF" w:val="clear"/>
    </w:rPr>
  </w:style>
  <w:style w:type="character" w:styleId="FontStyle29" w:customStyle="1">
    <w:name w:val="Font Style29"/>
    <w:qFormat/>
    <w:rsid w:val="007467db"/>
    <w:rPr>
      <w:rFonts w:ascii="Times New Roman" w:hAnsi="Times New Roman" w:cs="Times New Roman"/>
      <w:sz w:val="26"/>
      <w:szCs w:val="26"/>
    </w:rPr>
  </w:style>
  <w:style w:type="character" w:styleId="21" w:customStyle="1">
    <w:name w:val="Основной текст (2)_"/>
    <w:link w:val="22"/>
    <w:qFormat/>
    <w:rsid w:val="00113ef1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-">
    <w:name w:val="Hyperlink"/>
    <w:basedOn w:val="DefaultParagraphFont"/>
    <w:uiPriority w:val="99"/>
    <w:unhideWhenUsed/>
    <w:rsid w:val="00ae1a13"/>
    <w:rPr>
      <w:color w:val="0000FF"/>
      <w:u w:val="singl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6250c"/>
    <w:rPr>
      <w:rFonts w:ascii="Segoe UI" w:hAnsi="Segoe UI" w:cs="Segoe UI"/>
      <w:sz w:val="18"/>
      <w:szCs w:val="18"/>
    </w:rPr>
  </w:style>
  <w:style w:type="character" w:styleId="Style10">
    <w:name w:val="FollowedHyperlink"/>
    <w:basedOn w:val="DefaultParagraphFont"/>
    <w:uiPriority w:val="99"/>
    <w:semiHidden/>
    <w:unhideWhenUsed/>
    <w:rsid w:val="00eb57cd"/>
    <w:rPr>
      <w:color w:val="800080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6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346c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c2624d"/>
    <w:pPr>
      <w:widowControl/>
      <w:bidi w:val="0"/>
      <w:spacing w:lineRule="auto" w:line="240" w:before="0" w:after="0"/>
      <w:jc w:val="left"/>
    </w:pPr>
    <w:rPr>
      <w:rFonts w:ascii="Raleway Black" w:hAnsi="Raleway Black" w:cs="Raleway Black" w:eastAsia="Calibri"/>
      <w:color w:val="000000"/>
      <w:kern w:val="0"/>
      <w:sz w:val="24"/>
      <w:szCs w:val="24"/>
      <w:lang w:val="ru-RU" w:eastAsia="zh-CN" w:bidi="hi-IN"/>
    </w:rPr>
  </w:style>
  <w:style w:type="paragraph" w:styleId="11" w:customStyle="1">
    <w:name w:val="Основной текст1"/>
    <w:basedOn w:val="Normal"/>
    <w:link w:val="Style8"/>
    <w:qFormat/>
    <w:rsid w:val="00c2624d"/>
    <w:pPr>
      <w:widowControl w:val="false"/>
      <w:shd w:val="clear" w:color="auto" w:fill="FFFFFF"/>
      <w:spacing w:lineRule="exact" w:line="446" w:before="360" w:after="0"/>
      <w:jc w:val="both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cf0588"/>
    <w:pPr>
      <w:spacing w:before="0" w:after="20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1"/>
    <w:qFormat/>
    <w:rsid w:val="00113ef1"/>
    <w:pPr>
      <w:widowControl w:val="false"/>
      <w:shd w:val="clear" w:color="auto" w:fill="FFFFFF"/>
      <w:spacing w:lineRule="exact" w:line="300" w:before="800" w:after="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113ef1"/>
    <w:pPr>
      <w:suppressAutoHyphens w:val="true"/>
      <w:spacing w:lineRule="auto" w:line="240" w:before="0" w:after="120"/>
      <w:ind w:left="283" w:firstLine="720"/>
      <w:jc w:val="both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625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mail-textblock4l8qh" w:customStyle="1">
    <w:name w:val="gmail-text_block__4l8qh"/>
    <w:basedOn w:val="Normal"/>
    <w:uiPriority w:val="99"/>
    <w:semiHidden/>
    <w:qFormat/>
    <w:rsid w:val="00ba1057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7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wp-content/uploads/2023/11/ncfm-sergeev_2023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eaP33VIKpj/azY8i0SroXvtiScw==">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4</Pages>
  <Words>1860</Words>
  <Characters>13857</Characters>
  <CharactersWithSpaces>15648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2023-03-17T10:01:00Z</dcterms:created>
  <dc:creator>Смирнова Вероника Александровна</dc:creator>
  <dc:description/>
  <dc:language>ru-RU</dc:language>
  <cp:lastModifiedBy/>
  <cp:revision>0</cp:revision>
  <dc:subject/>
  <dc:title/>
</cp:coreProperties>
</file>