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АЭС: при поддержке атомщиков разработан уникальный виртуальный тур по Волгодонску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рамках экскурсии можно увидеть знаковые места Волгодонска в дополненной реальности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3 ноября в Волгодонске представили первый в городе интерактивный просветительский маршрут «Волгодонск — город строителей, машиностроителей, атомщиков». Над ним почти год трудилась команда из 20 волгодонских школьников, а также их вожатых и педагогов — участников программы Росатома «ARхитекторы Созидания: от Прошлого к Будущему. Город, который мы хотим построить, чтобы жить». Программа реализуется в рамках отраслевого проекта Госкорпорации «Росатом» «Лига прогресса» при поддержке Концерна «Росэнергоатом» и Фонда «АТР АЭС».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Интерактивная экскурсия состоит из 10 локаций, на каждой из которых установлены информационные стенды с QR-кодами. Сканируя коды с помощью смартфона, можно увидеть знаковые места Волгодонска с дополненной реальностью. Чтобы воплотить проект в жизнь, школьники прошли онлайн-обучение по созданию 2D- и 3D-объектов под руководством опытных наставников движения «Лига прогресса» — IT-специалистов из Москвы. Организаторы уверены, что эти навыки пригодятся им во многих сферах жизни и будут полезны в будущем для создания собственных проектов. Интерактивный просветительский маршрут разработан как для жителей, так и для гостей города. Пройти по нему может любой желающий, для этого необходим смартфон и несколько часов свободного времени.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«В атомной отрасли и нашей стране в целом поддержка молодежи и формирование условий для того, чтобы даже самые юные граждане могли проявить себя, является приоритетным направлением. Этот замечательный проект раскрывает творческий потенциал школьников, обогащает их знаниями и учит работать в команде. Ребята проделали большую работу: от выбора маршрута до создания виртуальных объектов в специальном графическом конструкторе. Акцент сделан на значимые культурные и исторические места старой части Волгодонска, атомный технопарк и ядерный вуз, где готовят будущих атомщиков», — отметил заместитель директора по управлению персоналом Ростовской АЭС Михаил Рябышев.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«Здорово, что сегодня открываются такие просветительские маршруты, ведь любовь к своей стране начинается с любви к семье и любви к месту, где ты родился», — отметил глава администрации Волгодонска Сергей Макаров на открытии маршрута.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Проект «Лига прогресса» — это коммуникативное пространство для детей и подростков, обладающих лидерскими навыками, а также для вожатых, помощников вожатых и молодых педагогов. Цель проекта — привлечь талантливых детей и молодежь в науку, познакомить их с современными технологиями и вместе с ними создать в городах присутствия Госкорпорации «Росатом» постоянно действующее виртуальное пространство для совместной работы и обмена опытом.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Проект реализуется Госкорпорацией «Росатом» с 2021 года. Поначалу в нем участвовали четыре города присутствия атомной промышленности — ЗАТО Лесной, ЗАТО Заречный, Глазов и Полярные Зори. В 2022–2023 годах добавились Волгодонск, Десногорск, Курчатов, Нововоронеж, Сосновый Бор и Удомля.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В рамках проекта была создана программа «ARхитекторы Созидания: от Прошлого к Будущему. Город, который мы хотим построить, чтобы жить». В каждом городе были созданы команды, которые объединили старшеклассников, вожатых и педагогов по проектной деятельности. Их задача заключалась в создании просветительского маршрута по своему городу (туристическая экскурсия) — по значимым местам, представляющим историческую или культурную ценность.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сентябре — ноябре во всех городах — участниках программы были установлены стенды с QR-кодами, ведущими на маршрут, и проходили торжественные открытия маршрутов. Волгодонск стал 10-м городом, в котором состоялось открытие. Например, в Глазове на каждой точке маршрута есть виртуальный гид, а в Курчатове — мифологические персонажи. Также можно будет посмотреть видеоролики, сфотографироваться с 3D-моделью.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Ростовская АЭС является филиалом АО «Концерн Росэнергоатом» (входит в крупнейший дивизион Госкорпорации «Росатом» — электроэнергетический).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 </w:t>
      </w:r>
      <w:r>
        <w:rPr>
          <w:rFonts w:eastAsia="Arial Unicode MS" w:cs="Arial Unicode MS" w:ascii="Arial Unicode MS" w:hAnsi="Arial Unicode MS"/>
          <w:sz w:val="24"/>
          <w:szCs w:val="24"/>
        </w:rPr>
        <w:t>⋅ ч.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страны и крупные российские компании, такие как Росатом, уделяют большое внимание планомерной работе по раскрытию потенциала молодежи. Предприятия атомной отрасли участвуют в создании базовых кафедр в российских вузах, реализации стипендиальных программ поддержки и крупных образовательных проектов, начиная со школ.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Arial Unicode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593</Words>
  <Characters>4039</Characters>
  <CharactersWithSpaces>4644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