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rPr>
          <w:b/>
          <w:color w:val="222222"/>
          <w:sz w:val="24"/>
          <w:szCs w:val="24"/>
        </w:rPr>
      </w:pPr>
      <w:r>
        <w:rPr>
          <w:b/>
          <w:color w:val="222222"/>
          <w:sz w:val="24"/>
          <w:szCs w:val="24"/>
        </w:rPr>
        <w:t>На стройплощадке энергоблока № 1 Курской АЭС-2 начался монтаж перегрузочной машины</w:t>
      </w:r>
    </w:p>
    <w:p>
      <w:pPr>
        <w:pStyle w:val="Normal1"/>
        <w:rPr>
          <w:i/>
          <w:i/>
          <w:color w:val="222222"/>
          <w:sz w:val="24"/>
          <w:szCs w:val="24"/>
        </w:rPr>
      </w:pPr>
      <w:r>
        <w:rPr>
          <w:i/>
          <w:color w:val="222222"/>
          <w:sz w:val="24"/>
          <w:szCs w:val="24"/>
        </w:rPr>
        <w:t>Это одна из наиболее сложных систем в комплексе реакторного острова АЭС</w:t>
      </w:r>
    </w:p>
    <w:p>
      <w:pPr>
        <w:pStyle w:val="Normal1"/>
        <w:rPr>
          <w:color w:val="222222"/>
          <w:sz w:val="24"/>
          <w:szCs w:val="24"/>
        </w:rPr>
      </w:pPr>
      <w:r>
        <w:rPr>
          <w:color w:val="222222"/>
          <w:sz w:val="24"/>
          <w:szCs w:val="24"/>
        </w:rPr>
        <w:t xml:space="preserve"> </w:t>
      </w:r>
    </w:p>
    <w:p>
      <w:pPr>
        <w:pStyle w:val="Normal1"/>
        <w:rPr>
          <w:color w:val="222222"/>
          <w:sz w:val="24"/>
          <w:szCs w:val="24"/>
        </w:rPr>
      </w:pPr>
      <w:r>
        <w:rPr>
          <w:color w:val="222222"/>
          <w:sz w:val="24"/>
          <w:szCs w:val="24"/>
        </w:rPr>
        <w:t>На стройплощадке энергоблока № 1 второй очереди Курской АЭС начался монтаж перегрузочной машины. Она предназначена для выполнения транспортно-технологических операций, связанных с перегрузкой ядерного топлива активной зоны реакторных установок типа ВВЭР-ТОИ, поглощающих стержней системы управления и защиты, гермопеналов, проведением контроля герметичности оболочек при перегрузке и вспомогательных операций по обеспечению технологического процесса.</w:t>
      </w:r>
    </w:p>
    <w:p>
      <w:pPr>
        <w:pStyle w:val="Normal1"/>
        <w:rPr>
          <w:color w:val="222222"/>
          <w:sz w:val="24"/>
          <w:szCs w:val="24"/>
        </w:rPr>
      </w:pPr>
      <w:r>
        <w:rPr>
          <w:color w:val="222222"/>
          <w:sz w:val="24"/>
          <w:szCs w:val="24"/>
        </w:rPr>
        <w:t xml:space="preserve"> </w:t>
      </w:r>
    </w:p>
    <w:p>
      <w:pPr>
        <w:pStyle w:val="Normal1"/>
        <w:rPr>
          <w:color w:val="222222"/>
          <w:sz w:val="24"/>
          <w:szCs w:val="24"/>
        </w:rPr>
      </w:pPr>
      <w:r>
        <w:rPr>
          <w:color w:val="222222"/>
          <w:sz w:val="24"/>
          <w:szCs w:val="24"/>
        </w:rPr>
        <w:t>«Перегрузочная машина — это один из важнейших элементов безопасного функционирования АЭС. Она представляет собой робот-манипулятор, состоящий из моста с установленной на нем передвижной тележкой с рабочей штангой и другими механизмами, — рассказал и. о. директора Курской АЭС Андрей Ошарин. — Масса оборудования — 55 тонн. Монтаж перегрузочной машины осуществляется внутри контейнмента первого энергоблока на отметке +26,3 метра. После завершения монтажа начнутся испытания».</w:t>
      </w:r>
    </w:p>
    <w:p>
      <w:pPr>
        <w:pStyle w:val="Normal1"/>
        <w:rPr>
          <w:color w:val="222222"/>
          <w:sz w:val="24"/>
          <w:szCs w:val="24"/>
        </w:rPr>
      </w:pPr>
      <w:r>
        <w:rPr>
          <w:color w:val="222222"/>
          <w:sz w:val="24"/>
          <w:szCs w:val="24"/>
        </w:rPr>
        <w:t xml:space="preserve"> </w:t>
      </w:r>
    </w:p>
    <w:p>
      <w:pPr>
        <w:pStyle w:val="Normal1"/>
        <w:rPr>
          <w:color w:val="222222"/>
          <w:sz w:val="24"/>
          <w:szCs w:val="24"/>
        </w:rPr>
      </w:pPr>
      <w:r>
        <w:rPr>
          <w:color w:val="222222"/>
          <w:sz w:val="24"/>
          <w:szCs w:val="24"/>
        </w:rPr>
        <w:t>Оборудование изготовило АО «ОКБМ Африкантов» (машиностроительный дивизион Росатома). Как отметил Сергей Данилов, начальник отдела, ответственного за разработку перегрузочного оборудования «ОКБМ Африкантов», следующей задачей станет поставка перегрузочных машин для второго энергоблока Курской АЭС-2, а также пятого и шестого энергоблоков АЭС «Куданкулам».</w:t>
      </w:r>
    </w:p>
    <w:p>
      <w:pPr>
        <w:pStyle w:val="Normal1"/>
        <w:rPr>
          <w:color w:val="222222"/>
          <w:sz w:val="24"/>
          <w:szCs w:val="24"/>
        </w:rPr>
      </w:pPr>
      <w:r>
        <w:rPr>
          <w:color w:val="222222"/>
          <w:sz w:val="24"/>
          <w:szCs w:val="24"/>
        </w:rPr>
        <w:t xml:space="preserve"> </w:t>
      </w:r>
    </w:p>
    <w:p>
      <w:pPr>
        <w:pStyle w:val="Normal1"/>
        <w:rPr>
          <w:b/>
          <w:color w:val="222222"/>
          <w:sz w:val="24"/>
          <w:szCs w:val="24"/>
        </w:rPr>
      </w:pPr>
      <w:r>
        <w:rPr>
          <w:b/>
          <w:color w:val="222222"/>
          <w:sz w:val="24"/>
          <w:szCs w:val="24"/>
        </w:rPr>
        <w:t xml:space="preserve">Справка: </w:t>
      </w:r>
    </w:p>
    <w:p>
      <w:pPr>
        <w:pStyle w:val="Normal1"/>
        <w:rPr>
          <w:color w:val="222222"/>
          <w:sz w:val="24"/>
          <w:szCs w:val="24"/>
        </w:rPr>
      </w:pPr>
      <w:r>
        <w:rPr>
          <w:color w:val="222222"/>
          <w:sz w:val="24"/>
          <w:szCs w:val="24"/>
        </w:rPr>
        <w:t xml:space="preserve"> </w:t>
      </w:r>
    </w:p>
    <w:p>
      <w:pPr>
        <w:pStyle w:val="Normal1"/>
        <w:rPr>
          <w:color w:val="222222"/>
          <w:sz w:val="24"/>
          <w:szCs w:val="24"/>
        </w:rPr>
      </w:pPr>
      <w:r>
        <w:rPr>
          <w:color w:val="222222"/>
          <w:sz w:val="24"/>
          <w:szCs w:val="24"/>
        </w:rPr>
        <w:t>Курская АЭС (г. Курчатов Курской области) — один из крупнейших в Среднерусском Черноземье генерирующих источников электроэнергии. Потребителями ее электроэнергии являются 19 регионов центра России. Станция имеет в своем составе три энергоблока с канальными реакторами общей мощностью 3 млн кВт. Энергоблок № 1 после 45 лет службы с декабря 2021 года находится в режиме эксплуатации без генерации. Энергоблоки станции были подключены к Единой энергетической системе страны в 1976, 1979, 1983 и 1985 годах. В 1994–2009 годах все действующие энергоблоки прошли глубокую техническую модернизацию. За годы работы Курская атомная станция выработала свыше 1 трлн кВт · ч электроэнергии. В настоящее время идет сооружение энергоблоков № 1 и 2 станции замещения Курская АЭС-2 с новым типом реактора ВВЭР-ТОИ. Проектный срок их службы составляет 60 лет с возможностью продления еще на 20 лет.</w:t>
      </w:r>
    </w:p>
    <w:p>
      <w:pPr>
        <w:pStyle w:val="Normal1"/>
        <w:rPr>
          <w:color w:val="222222"/>
          <w:sz w:val="24"/>
          <w:szCs w:val="24"/>
        </w:rPr>
      </w:pPr>
      <w:r>
        <w:rPr>
          <w:color w:val="222222"/>
          <w:sz w:val="24"/>
          <w:szCs w:val="24"/>
        </w:rPr>
        <w:t xml:space="preserve"> </w:t>
      </w:r>
    </w:p>
    <w:p>
      <w:pPr>
        <w:pStyle w:val="Normal1"/>
        <w:rPr>
          <w:color w:val="222222"/>
          <w:sz w:val="24"/>
          <w:szCs w:val="24"/>
        </w:rPr>
      </w:pPr>
      <w:r>
        <w:rPr>
          <w:color w:val="222222"/>
          <w:sz w:val="24"/>
          <w:szCs w:val="24"/>
        </w:rPr>
        <w:t>Сооружение энергоблоков № 1 и 2 станции замещения Курская АЭС-2 осуществляется в рамках федерального проекта «Проектирование и строительство референтных энергоблоков атомных электростанций» Комплексной программы «Развитие техники, технологий и научных исследований в области использования атомной энергии в Российской Федерации на период до 2024 года».</w:t>
      </w:r>
    </w:p>
    <w:p>
      <w:pPr>
        <w:pStyle w:val="Normal1"/>
        <w:rPr>
          <w:color w:val="222222"/>
          <w:sz w:val="24"/>
          <w:szCs w:val="24"/>
        </w:rPr>
      </w:pPr>
      <w:r>
        <w:rPr>
          <w:color w:val="222222"/>
          <w:sz w:val="24"/>
          <w:szCs w:val="24"/>
        </w:rPr>
        <w:t xml:space="preserve"> </w:t>
      </w:r>
    </w:p>
    <w:p>
      <w:pPr>
        <w:pStyle w:val="Normal1"/>
        <w:rPr>
          <w:color w:val="222222"/>
          <w:sz w:val="24"/>
          <w:szCs w:val="24"/>
        </w:rPr>
      </w:pPr>
      <w:r>
        <w:rPr>
          <w:color w:val="222222"/>
          <w:sz w:val="24"/>
          <w:szCs w:val="24"/>
        </w:rPr>
        <w:t>Оборудование перегрузочной машины — одна из наиболее сложных систем в комплексе реакторного острова АЭС. Она объединяет механические, грузоподъемные, электротехнические устройства, систему управления и должна обладать высокой точностью для выполнения работ с тепловыделяющими сборками в ядерном реакторе. Требования к погрешности выхода перегрузочной машины на заданную координату — не более 2 мм.</w:t>
      </w:r>
    </w:p>
    <w:p>
      <w:pPr>
        <w:pStyle w:val="Normal1"/>
        <w:rPr>
          <w:color w:val="222222"/>
          <w:sz w:val="24"/>
          <w:szCs w:val="24"/>
        </w:rPr>
      </w:pPr>
      <w:r>
        <w:rPr>
          <w:color w:val="222222"/>
          <w:sz w:val="24"/>
          <w:szCs w:val="24"/>
        </w:rPr>
        <w:t xml:space="preserve"> </w:t>
      </w:r>
    </w:p>
    <w:p>
      <w:pPr>
        <w:pStyle w:val="Normal1"/>
        <w:rPr>
          <w:color w:val="222222"/>
          <w:sz w:val="24"/>
          <w:szCs w:val="24"/>
        </w:rPr>
      </w:pPr>
      <w:r>
        <w:rPr>
          <w:color w:val="222222"/>
          <w:sz w:val="24"/>
          <w:szCs w:val="24"/>
        </w:rPr>
        <w:t>АО «ОКБМ Африкантов» — разработчик и комплектный поставщик перегрузочных машин. Предприятие изготовило их для энергоблоков № 2, 3 и 4 Ростовской АЭС, энергоблока № 4 Калининской АЭС, энергоблоков № 1 и 2 Ленинградской АЭС-2, энергоблоков № 1 и 2 Белорусской АЭС, а также блоков № 1 и 2 АЭС «Руппур».</w:t>
      </w:r>
    </w:p>
    <w:p>
      <w:pPr>
        <w:pStyle w:val="Normal1"/>
        <w:rPr>
          <w:color w:val="222222"/>
          <w:sz w:val="24"/>
          <w:szCs w:val="24"/>
        </w:rPr>
      </w:pPr>
      <w:r>
        <w:rPr>
          <w:color w:val="222222"/>
          <w:sz w:val="24"/>
          <w:szCs w:val="24"/>
        </w:rPr>
        <w:t xml:space="preserve"> </w:t>
      </w:r>
    </w:p>
    <w:p>
      <w:pPr>
        <w:pStyle w:val="Normal1"/>
        <w:rPr>
          <w:color w:val="222222"/>
          <w:sz w:val="24"/>
          <w:szCs w:val="24"/>
        </w:rPr>
      </w:pPr>
      <w:r>
        <w:rPr>
          <w:color w:val="222222"/>
          <w:sz w:val="24"/>
          <w:szCs w:val="24"/>
        </w:rPr>
        <w:t>Топливно-энергетический комплекс был и остается одной из важнейших составляющих экономики России, влияющей на развитие других отраслей промышленности. Президент и Правительство РФ ставят задачи по его развитию с целью укрепления производственного и технологического потенциала страны, повышения качество жизни граждан России. Росатом и его предприятия принимают активное участие в этой работе.</w:t>
      </w:r>
    </w:p>
    <w:p>
      <w:pPr>
        <w:pStyle w:val="Normal1"/>
        <w:rPr>
          <w:color w:val="222222"/>
          <w:sz w:val="24"/>
          <w:szCs w:val="24"/>
        </w:rPr>
      </w:pPr>
      <w:r>
        <w:rPr>
          <w:color w:val="222222"/>
          <w:sz w:val="24"/>
          <w:szCs w:val="24"/>
        </w:rPr>
        <w:t xml:space="preserve"> </w:t>
      </w:r>
    </w:p>
    <w:p>
      <w:pPr>
        <w:pStyle w:val="Normal1"/>
        <w:rPr/>
      </w:pPr>
      <w:r>
        <w:rPr/>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01"/>
    <w:family w:val="swiss"/>
    <w:pitch w:val="default"/>
  </w:font>
  <w:font w:name="Calibri">
    <w:charset w:val="01"/>
    <w:family w:val="swiss"/>
    <w:pitch w:val="default"/>
  </w:font>
</w:fonts>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1">
    <w:name w:val="Heading 1"/>
    <w:basedOn w:val="Normal1"/>
    <w:next w:val="Normal1"/>
    <w:qFormat/>
    <w:pPr>
      <w:keepNext w:val="true"/>
      <w:keepLines/>
      <w:pageBreakBefore w:val="false"/>
      <w:spacing w:lineRule="auto" w:line="240" w:before="400" w:after="120"/>
    </w:pPr>
    <w:rPr>
      <w:sz w:val="40"/>
      <w:szCs w:val="40"/>
    </w:rPr>
  </w:style>
  <w:style w:type="paragraph" w:styleId="2">
    <w:name w:val="Heading 2"/>
    <w:basedOn w:val="Normal1"/>
    <w:next w:val="Normal1"/>
    <w:qFormat/>
    <w:pPr>
      <w:keepNext w:val="true"/>
      <w:keepLines/>
      <w:pageBreakBefore w:val="false"/>
      <w:spacing w:lineRule="auto" w:line="240" w:before="360" w:after="120"/>
    </w:pPr>
    <w:rPr>
      <w:b w:val="false"/>
      <w:sz w:val="32"/>
      <w:szCs w:val="32"/>
    </w:rPr>
  </w:style>
  <w:style w:type="paragraph" w:styleId="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4">
    <w:name w:val="Heading 4"/>
    <w:basedOn w:val="Normal1"/>
    <w:next w:val="Normal1"/>
    <w:qFormat/>
    <w:pPr>
      <w:keepNext w:val="true"/>
      <w:keepLines/>
      <w:pageBreakBefore w:val="false"/>
      <w:spacing w:lineRule="auto" w:line="240" w:before="280" w:after="80"/>
    </w:pPr>
    <w:rPr>
      <w:color w:val="666666"/>
      <w:sz w:val="24"/>
      <w:szCs w:val="24"/>
    </w:rPr>
  </w:style>
  <w:style w:type="paragraph" w:styleId="5">
    <w:name w:val="Heading 5"/>
    <w:basedOn w:val="Normal1"/>
    <w:next w:val="Normal1"/>
    <w:qFormat/>
    <w:pPr>
      <w:keepNext w:val="true"/>
      <w:keepLines/>
      <w:pageBreakBefore w:val="false"/>
      <w:spacing w:lineRule="auto" w:line="240" w:before="240" w:after="80"/>
    </w:pPr>
    <w:rPr>
      <w:color w:val="666666"/>
      <w:sz w:val="22"/>
      <w:szCs w:val="22"/>
    </w:rPr>
  </w:style>
  <w:style w:type="paragraph" w:styleId="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Style8">
    <w:name w:val="Заголовок"/>
    <w:basedOn w:val="Normal"/>
    <w:next w:val="Style9"/>
    <w:qFormat/>
    <w:pPr>
      <w:keepNext w:val="true"/>
      <w:spacing w:before="240" w:after="120"/>
    </w:pPr>
    <w:rPr>
      <w:rFonts w:ascii="Calibri" w:hAnsi="Calibri" w:eastAsia="Microsoft YaHei" w:cs="Arial"/>
      <w:sz w:val="28"/>
      <w:szCs w:val="28"/>
    </w:rPr>
  </w:style>
  <w:style w:type="paragraph" w:styleId="Style9">
    <w:name w:val="Body Text"/>
    <w:basedOn w:val="Normal"/>
    <w:pPr>
      <w:spacing w:lineRule="auto" w:line="276" w:before="0" w:after="140"/>
    </w:pPr>
    <w:rPr/>
  </w:style>
  <w:style w:type="paragraph" w:styleId="Style10">
    <w:name w:val="List"/>
    <w:basedOn w:val="Style9"/>
    <w:pPr/>
    <w:rPr>
      <w:rFonts w:ascii="Calibri" w:hAnsi="Calibri" w:cs="Arial"/>
    </w:rPr>
  </w:style>
  <w:style w:type="paragraph" w:styleId="Style11">
    <w:name w:val="Caption"/>
    <w:basedOn w:val="Normal"/>
    <w:qFormat/>
    <w:pPr>
      <w:suppressLineNumbers/>
      <w:spacing w:before="120" w:after="120"/>
    </w:pPr>
    <w:rPr>
      <w:rFonts w:ascii="Calibri" w:hAnsi="Calibri" w:cs="Arial"/>
      <w:i/>
      <w:iCs/>
      <w:sz w:val="24"/>
      <w:szCs w:val="24"/>
    </w:rPr>
  </w:style>
  <w:style w:type="paragraph" w:styleId="Style12">
    <w:name w:val="Указатель"/>
    <w:basedOn w:val="Normal"/>
    <w:qFormat/>
    <w:pPr>
      <w:suppressLineNumbers/>
    </w:pPr>
    <w:rPr>
      <w:rFonts w:ascii="Calibri" w:hAnsi="Calibri" w:cs="Arial"/>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Style13">
    <w:name w:val="Title"/>
    <w:basedOn w:val="Normal1"/>
    <w:next w:val="Normal1"/>
    <w:qFormat/>
    <w:pPr>
      <w:keepNext w:val="true"/>
      <w:keepLines/>
      <w:pageBreakBefore w:val="false"/>
      <w:spacing w:lineRule="auto" w:line="240" w:before="0" w:after="60"/>
    </w:pPr>
    <w:rPr>
      <w:sz w:val="52"/>
      <w:szCs w:val="52"/>
    </w:rPr>
  </w:style>
  <w:style w:type="paragraph" w:styleId="Style14">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Pages>
  <Words>489</Words>
  <Characters>3279</Characters>
  <CharactersWithSpaces>3775</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