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189"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На Ленинградской АЭС модернизировали оборудование для теплоснабжения города Сосновый Бор</w:t>
      </w:r>
    </w:p>
    <w:p>
      <w:pPr>
        <w:pStyle w:val="Normal1"/>
        <w:spacing w:lineRule="auto" w:line="189" w:before="240" w:after="0"/>
        <w:rPr>
          <w:i/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Новая отечественная система очистки в бойлерной АЭС, питающей теплом и горячей водой 65-тысячный город Сосновый Бор, позволит сохранить трубопроводы от коррозии</w:t>
      </w:r>
    </w:p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В бойлерной районного теплоснабжения Ленинградской АЭС смонтированы два декарбонизатора. Новое оборудование представляет собой цилиндрические стальные баки с наполнителем, позволяющим эффективно удалять из воды углекислый газ, который вызывает коррозию оборудования и трубопроводов. Предыдущие декарбонизаторы находились в работе с 1987 года, за это время произошел их технический износ.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b/>
          <w:sz w:val="24"/>
          <w:szCs w:val="24"/>
        </w:rPr>
      </w:pPr>
      <w:r>
        <w:rPr>
          <w:sz w:val="24"/>
          <w:szCs w:val="24"/>
        </w:rPr>
        <w:t>«Новое современное оснащение препятствует появлению коррозии в трубопроводах и насосном оборудовании. Это позволит стабильно обеспечивать теплом в осенне-зимний период и горячей водой круглогодично не только дома, социальные объекты в г. Сосновый Бор, но и промзону, где расположена Ленинградская АЭС, а также другие предприятия атомной отрасли», — рассказал начальник химического цеха</w:t>
      </w:r>
      <w:r>
        <w:rPr>
          <w:b/>
          <w:sz w:val="24"/>
          <w:szCs w:val="24"/>
        </w:rPr>
        <w:t xml:space="preserve"> Сергей Ушаков. </w:t>
      </w:r>
    </w:p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Раньше для удаления углекислоты использовались керамические кольца Рашига — кислотоупорные детали в виде цилиндров диаметром 25 мм, которые засыпались в рабочие емкости оборудования в хаотичном порядке. Теперь на новом оборудовании используется специальный наполнитель отечественного производителя из Санкт-Петербурга, который более чем в четыре раза эффективнее предыдущего. Такой подход позволил ускорить процесс дегазации воды, а материал, из которого изготовлен наполнитель, при промывке не может разбиться или раскрошиться, что повышает срок службы наполнителя.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Модернизация бойлерной продолжается: постепенно будут выполнены работы по замене брызгоотделителей и подводящих трубопроводов, модернизация складов хранения реагентов, узла регенерации фильтров, узла нейтрализации кислых вод после регенерации. Срок окончания работ — в 2028 году.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на улучшение качества жизни граждан, способствует развитию и благоустройству регионов страны, городов, поселков. Доля низкоуглеродной электрогенерации в российской энергетике составляет уже около 40%. В перспективе, с учетом роста доли атомной генерации, она будет только расти.</w:t>
      </w:r>
    </w:p>
    <w:p>
      <w:pPr>
        <w:pStyle w:val="Normal1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jc w:val="both"/>
        <w:rPr>
          <w:i/>
          <w:i/>
          <w:sz w:val="24"/>
          <w:szCs w:val="24"/>
          <w:highlight w:val="white"/>
        </w:rPr>
      </w:pPr>
      <w:r>
        <w:rPr>
          <w:i/>
          <w:sz w:val="24"/>
          <w:szCs w:val="24"/>
        </w:rPr>
        <w:t>Ленинградская АЭС является крупнейшей атомной станцией в России по установленной мощности — 4400 МВт. Здесь эксплуатируются четыре блока РБМК-1000 и два блока ВВЭР-1200. Энергоблоки № 1 и 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Еще два новых энергоблока ВВЭР-1200 Ленинградской АЭС, № 7 и 8,планируется ввести в эксплуатацию в 2030 и 2032 годах соответственно. Они станут замещающими мощностями энергоблоков РБМК-1000 № 3 и 4</w:t>
      </w:r>
      <w:r>
        <w:rPr>
          <w:i/>
          <w:sz w:val="24"/>
          <w:szCs w:val="24"/>
          <w:highlight w:val="white"/>
        </w:rPr>
        <w:t>. Ежегодная выработка каждого энергоблока ВВЭР-1200 составляет более 8,5 млрд КВт </w:t>
      </w:r>
      <w:r>
        <w:rPr>
          <w:rFonts w:eastAsia="Arial Unicode MS" w:cs="Arial Unicode MS" w:ascii="Arial Unicode MS" w:hAnsi="Arial Unicode MS"/>
          <w:i/>
          <w:sz w:val="24"/>
          <w:szCs w:val="24"/>
          <w:highlight w:val="white"/>
        </w:rPr>
        <w:t>⋅ ч</w:t>
      </w:r>
      <w:r>
        <w:rPr>
          <w:i/>
          <w:sz w:val="24"/>
          <w:szCs w:val="24"/>
          <w:highlight w:val="white"/>
        </w:rPr>
        <w:t xml:space="preserve"> электроэнергии.</w:t>
      </w:r>
    </w:p>
    <w:p>
      <w:pPr>
        <w:pStyle w:val="Normal1"/>
        <w:spacing w:lineRule="auto" w:line="189" w:before="240" w:after="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Arial Unicode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399</Words>
  <Characters>2795</Characters>
  <CharactersWithSpaces>3198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