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b/>
          <w:sz w:val="24"/>
          <w:szCs w:val="24"/>
        </w:rPr>
      </w:pPr>
      <w:r>
        <w:rPr>
          <w:b/>
          <w:sz w:val="24"/>
          <w:szCs w:val="24"/>
        </w:rPr>
        <w:t>Росатом подарил победителю конкурса «Учитель года России — 2023» путешествие на Северный полюс</w:t>
      </w:r>
    </w:p>
    <w:p>
      <w:pPr>
        <w:pStyle w:val="LO-normal"/>
        <w:rPr>
          <w:sz w:val="24"/>
          <w:szCs w:val="24"/>
        </w:rPr>
      </w:pPr>
      <w:r>
        <w:rPr>
          <w:sz w:val="24"/>
          <w:szCs w:val="24"/>
        </w:rPr>
      </w:r>
    </w:p>
    <w:p>
      <w:pPr>
        <w:pStyle w:val="LO-normal"/>
        <w:rPr>
          <w:sz w:val="24"/>
          <w:szCs w:val="24"/>
        </w:rPr>
      </w:pPr>
      <w:r>
        <w:rPr>
          <w:sz w:val="24"/>
          <w:szCs w:val="24"/>
        </w:rPr>
        <w:t>5 октября в Гостином дворе в Москве состоялась торжественная церемония объявления победителей Всероссийского конкурса «Учитель года России — 2023», проходящая в рамках Большой учительской недели. Победителем стал учитель русского языка и литературы общеобразовательной школы при посольстве РФ в Иране Олег Янковский.</w:t>
      </w:r>
    </w:p>
    <w:p>
      <w:pPr>
        <w:pStyle w:val="LO-normal"/>
        <w:rPr>
          <w:sz w:val="24"/>
          <w:szCs w:val="24"/>
        </w:rPr>
      </w:pPr>
      <w:r>
        <w:rPr>
          <w:sz w:val="24"/>
          <w:szCs w:val="24"/>
        </w:rPr>
      </w:r>
    </w:p>
    <w:p>
      <w:pPr>
        <w:pStyle w:val="LO-normal"/>
        <w:rPr>
          <w:sz w:val="24"/>
          <w:szCs w:val="24"/>
        </w:rPr>
      </w:pPr>
      <w:r>
        <w:rPr>
          <w:sz w:val="24"/>
          <w:szCs w:val="24"/>
        </w:rPr>
        <w:t>В торжественной церемонии также приняли участие заместитель Председателя Правительства РФ Татьяна Голикова, министр просвещения РФ Сергей Кравцов, председатель комитета Госдумы по просвещению Ольга Казакова, ректор Московского государственного университета имени М. В. Ломоносова Виктор Садовничий, заместитель генерального директора по персоналу Госкорпорации «Росатом» Татьяна Терентьева, партнеры состязания и финалисты конкурса, члены жюри, участники Форума классных руководителей.</w:t>
      </w:r>
    </w:p>
    <w:p>
      <w:pPr>
        <w:pStyle w:val="LO-normal"/>
        <w:rPr>
          <w:sz w:val="24"/>
          <w:szCs w:val="24"/>
        </w:rPr>
      </w:pPr>
      <w:r>
        <w:rPr>
          <w:sz w:val="24"/>
          <w:szCs w:val="24"/>
        </w:rPr>
      </w:r>
    </w:p>
    <w:p>
      <w:pPr>
        <w:pStyle w:val="LO-normal"/>
        <w:rPr>
          <w:sz w:val="24"/>
          <w:szCs w:val="24"/>
        </w:rPr>
      </w:pPr>
      <w:r>
        <w:rPr>
          <w:sz w:val="24"/>
          <w:szCs w:val="24"/>
        </w:rPr>
        <w:t>В своем выступлении на церемонии Татьяна Терентьева назвала профессию учителя уникальной, отметив особую миссию учителей — воспитывать личность, готовую к взрослой жизни, и вдохновлять на выбор будущего пути. «Мы в Росатоме понимаем важность труда учителей и уже много лет реализуем проекты по их поддержке и развитию: запустили в городах присутствия масштабный проект «Учитель для Росатома», создали Совет педагогов Росатома, сотрудничаем с профильными вузами по всей стране. И конечно, мы уже традиционно поддерживаем конкурс «Учитель года России». Победитель получает уникальную возможность — отправиться в экспедицию на Северный полюс на атомном ледоколе «50 лет Победы» и своими глазами увидеть атомные технологии, а также погрузиться в завораживающий и таинственный мир хрупкой природы Арктики. Пусть это путешествие вдохновит вас на новые профессиональные открытия и свершения, вы поделитесь ими с учениками и в очередной раз докажете, что ничего невозможного в этом мире нет!» — сказала она.</w:t>
      </w:r>
    </w:p>
    <w:p>
      <w:pPr>
        <w:pStyle w:val="LO-normal"/>
        <w:rPr>
          <w:sz w:val="24"/>
          <w:szCs w:val="24"/>
        </w:rPr>
      </w:pPr>
      <w:r>
        <w:rPr>
          <w:sz w:val="24"/>
          <w:szCs w:val="24"/>
        </w:rPr>
      </w:r>
    </w:p>
    <w:p>
      <w:pPr>
        <w:pStyle w:val="LO-normal"/>
        <w:rPr>
          <w:sz w:val="24"/>
          <w:szCs w:val="24"/>
        </w:rPr>
      </w:pPr>
      <w:r>
        <w:rPr>
          <w:sz w:val="24"/>
          <w:szCs w:val="24"/>
        </w:rPr>
        <w:t>Старт научно-просветительской экспедиции на ледоколе «50 лет Победы» Росатомфлота (предприятие Росатома) должен состояться летом 2024 года.</w:t>
      </w:r>
    </w:p>
    <w:p>
      <w:pPr>
        <w:pStyle w:val="LO-normal"/>
        <w:rPr>
          <w:sz w:val="24"/>
          <w:szCs w:val="24"/>
        </w:rPr>
      </w:pPr>
      <w:r>
        <w:rPr>
          <w:sz w:val="24"/>
          <w:szCs w:val="24"/>
        </w:rPr>
      </w:r>
    </w:p>
    <w:p>
      <w:pPr>
        <w:pStyle w:val="LO-normal"/>
        <w:rPr>
          <w:b/>
          <w:i/>
          <w:i/>
          <w:sz w:val="24"/>
          <w:szCs w:val="24"/>
        </w:rPr>
      </w:pPr>
      <w:r>
        <w:rPr>
          <w:b/>
          <w:i/>
          <w:sz w:val="24"/>
          <w:szCs w:val="24"/>
        </w:rPr>
        <w:t>Справка:</w:t>
      </w:r>
    </w:p>
    <w:p>
      <w:pPr>
        <w:pStyle w:val="LO-normal"/>
        <w:rPr>
          <w:i/>
          <w:i/>
          <w:sz w:val="24"/>
          <w:szCs w:val="24"/>
        </w:rPr>
      </w:pPr>
      <w:r>
        <w:rPr>
          <w:i/>
          <w:sz w:val="24"/>
          <w:szCs w:val="24"/>
        </w:rPr>
      </w:r>
    </w:p>
    <w:p>
      <w:pPr>
        <w:pStyle w:val="LO-normal"/>
        <w:rPr>
          <w:i/>
          <w:i/>
          <w:sz w:val="24"/>
          <w:szCs w:val="24"/>
        </w:rPr>
      </w:pPr>
      <w:r>
        <w:rPr>
          <w:i/>
          <w:sz w:val="24"/>
          <w:szCs w:val="24"/>
        </w:rPr>
        <w:t>Конкурс «Учитель года России» проводится для выявления и поощрения самых творческих педагогов, повышения престижа работы учителя и распространения педагогического опыта лучших учителей страны. Ежегодно он собирает более 100 тыс. педагогов. В этом году конкурс проходит в 34-й раз, в финале участвовали 90 педагогов из всех регионов. Победитель конкурса получит «Большого хрустального пеликана» и премию в размере 1 млн рублей, а призеры — по 500 тыс. рублей.</w:t>
      </w:r>
    </w:p>
    <w:p>
      <w:pPr>
        <w:pStyle w:val="LO-normal"/>
        <w:rPr>
          <w:i/>
          <w:i/>
          <w:sz w:val="24"/>
          <w:szCs w:val="24"/>
        </w:rPr>
      </w:pPr>
      <w:r>
        <w:rPr>
          <w:i/>
          <w:sz w:val="24"/>
          <w:szCs w:val="24"/>
        </w:rPr>
      </w:r>
    </w:p>
    <w:p>
      <w:pPr>
        <w:pStyle w:val="LO-normal"/>
        <w:rPr>
          <w:i/>
          <w:i/>
          <w:sz w:val="24"/>
          <w:szCs w:val="24"/>
        </w:rPr>
      </w:pPr>
      <w:r>
        <w:rPr>
          <w:i/>
          <w:sz w:val="24"/>
          <w:szCs w:val="24"/>
        </w:rPr>
        <w:t>Росатом является партнером конкурса «Учитель года России». В 2022 году сертификат на участие в просветительской экспедиции «Ледокол знаний» Росатома достался учителю истории Дмитрию Лутовинову из подмосковного города Орехово-Зуево. Этим летом он провел на атомном ледоколе самый северный урок истории. Вместе с ним в экспедиции приняли участие более 80 талантливых школьников со всей страны.</w:t>
      </w:r>
    </w:p>
    <w:p>
      <w:pPr>
        <w:pStyle w:val="LO-normal"/>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LO-normal"/>
    <w:next w:val="LO-normal"/>
    <w:qFormat/>
    <w:pPr>
      <w:keepNext w:val="true"/>
      <w:keepLines/>
      <w:pageBreakBefore w:val="false"/>
      <w:spacing w:lineRule="auto" w:line="240" w:before="0" w:after="60"/>
    </w:pPr>
    <w:rPr>
      <w:sz w:val="52"/>
      <w:szCs w:val="52"/>
    </w:rPr>
  </w:style>
  <w:style w:type="paragraph" w:styleId="Style14">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379</Words>
  <Characters>2513</Characters>
  <CharactersWithSpaces>2890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file>