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80" w:after="80"/>
        <w:jc w:val="both"/>
        <w:rPr>
          <w:b/>
        </w:rPr>
      </w:pP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На Курской АЭС-2 завершены работы по бетонированию купола внутренней защитной оболочки второго энергоблока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>В реакторном здании второго энергоблока завершено бетонирование купола внутренней защитной оболочки (ВЗО). Это завершающий этап строительства одного из физических барьеров глубокоэшелонированной защиты АЭС. Всего в конструкцию купольной части высотой 19,4 м с внутренним диаметром основания 44 м уложено около 3,5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тыс.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color w:val="4D5156"/>
          <w:sz w:val="24"/>
          <w:szCs w:val="24"/>
          <w:highlight w:val="white"/>
        </w:rPr>
        <w:t>м³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бетонной смеси. По завершени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и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бетонирования вершина купола внутренней защитной оболочки достигла отметки 61,7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м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>, толщина стенок составила 1,2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>м.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Внутренняя защитная оболочка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один из основных элементов системы безопасности атомной электростанции. Она не только защищает реакторное отделение, но и дает опору для проходок трубопроводов и полярного крана, с помощью которого обслуживается атомный реактор.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«Завершение бетонирования внутренней защитной оболочки второго энергоблока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одно из значимых событий на площадке сооружения Курской АЭС-2,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пояснил первый заместитель директора по сооружению новых блоков </w:t>
      </w: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Андрей Ошарин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.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Это дает старт для подготовки к следующему этапу работ в реакторном здании второго энергоблока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монтажу системы преднапряжения защитной оболочки, многократно усиливающ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ей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прочность внутренней защитной оболочки».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На протяжении всего процесса бетонирования осуществлялся лабораторный контроль качества бетонной смеси. Только при подтверждении требуемых технологических характеристик бетонная смесь допускалась для укладки в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конструктив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>.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sdt>
        <w:sdtPr>
          <w:tag w:val="goog_rdk_0"/>
        </w:sdtPr>
        <w:sdtContent>
          <w:r>
            <w:rPr>
              <w:rFonts w:eastAsia="Arial" w:cs="Arial"/>
              <w:b w:val="false"/>
              <w:color w:val="343433"/>
              <w:sz w:val="24"/>
              <w:szCs w:val="24"/>
            </w:rPr>
          </w:r>
          <w:r>
            <w:rPr>
              <w:rFonts w:eastAsia="Arial" w:cs="Arial"/>
              <w:b w:val="false"/>
              <w:color w:val="343433"/>
              <w:sz w:val="24"/>
              <w:szCs w:val="24"/>
            </w:rPr>
            <w:t xml:space="preserve">«При бетонировании купола внутренней защитной оболочки второго энергоблока использовали аналогичный опыт работ на энергоблоке № 1, </w:t>
          </w:r>
        </w:sdtContent>
      </w:sdt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пояснил вице-президент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директор проекта по сооружению Курской АЭС АО АСЭ </w:t>
      </w: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Олег Шперле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.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Это позволило оптимизировать процесс работы. Бетонирование велось непрерывно в дневную и ночную смены с участием около 80 специалистов подрядной организации».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 w:val="false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>Проектом строительства Курской АЭС-2 предусмотрен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ы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две защитные оболочки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для зданий реактора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color w:val="343433"/>
          <w:sz w:val="24"/>
          <w:szCs w:val="24"/>
        </w:rPr>
        <w:t xml:space="preserve"> внутренняя и наружная, которые служат физической защитой от техногенных и природных воздействий.</w:t>
      </w:r>
    </w:p>
    <w:p>
      <w:pPr>
        <w:pStyle w:val="Normal1"/>
        <w:spacing w:lineRule="auto" w:line="276" w:before="280" w:after="80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Справка:</w:t>
      </w:r>
    </w:p>
    <w:p>
      <w:pPr>
        <w:pStyle w:val="Normal1"/>
        <w:spacing w:lineRule="auto" w:line="276" w:before="280" w:after="80"/>
        <w:jc w:val="both"/>
        <w:rPr>
          <w:b w:val="false"/>
          <w:i/>
          <w:i/>
        </w:rPr>
      </w:pP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>Энергетика является основой поступательного социально-экономического развития страны, снабжения промышленности и граждан. Российский топливно-энергетический комплекс продолжает реализацию новых проектов и плановое обновление мощностей. Эта работа осуществляется с учетом современных трендов цифровизации и замещения импортного оборудования. Росатом и его предприятия принимают активное участие в этой работе.</w:t>
      </w:r>
    </w:p>
    <w:p>
      <w:pPr>
        <w:pStyle w:val="Normal1"/>
        <w:spacing w:lineRule="auto" w:line="276" w:before="280" w:after="80"/>
        <w:jc w:val="both"/>
        <w:rPr>
          <w:b w:val="false"/>
        </w:rPr>
      </w:pPr>
      <w:sdt>
        <w:sdtPr>
          <w:tag w:val="goog_rdk_1"/>
        </w:sdtPr>
        <w:sdtContent>
          <w:r>
            <w:rPr>
              <w:rFonts w:eastAsia="Arial" w:cs="Arial"/>
              <w:b w:val="false"/>
              <w:i/>
              <w:color w:val="343433"/>
              <w:sz w:val="24"/>
              <w:szCs w:val="24"/>
            </w:rPr>
          </w:r>
          <w:r>
            <w:rPr>
              <w:rFonts w:eastAsia="Arial" w:cs="Arial"/>
              <w:b w:val="false"/>
              <w:i/>
              <w:color w:val="343433"/>
              <w:sz w:val="24"/>
              <w:szCs w:val="24"/>
            </w:rPr>
            <w:t xml:space="preserve">Энергоблоки № 1 и № 2 КуАЭС-2 поколения </w:t>
          </w:r>
        </w:sdtContent>
      </w:sdt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III+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 xml:space="preserve"> являются пилотными, сооружаемыми по проекту ВВЭР-ТОИ (водо-водяной энергетический реактор типовой оптимизированный информатизированный). Это новый проект, созданный российскими проектировщиками (АО </w:t>
      </w: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«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>Атомэнергопроект</w:t>
      </w: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»</w:t>
      </w:r>
      <w:r>
        <w:rPr>
          <w:rFonts w:eastAsia="Trebuchet MS" w:cs="Trebuchet MS" w:ascii="Trebuchet MS" w:hAnsi="Trebuchet MS"/>
          <w:b w:val="false"/>
          <w:i/>
          <w:color w:val="343433"/>
          <w:sz w:val="24"/>
          <w:szCs w:val="24"/>
        </w:rPr>
        <w:t>) на базе технических решений проекта АЭС с ВВЭР-1200. Они обладают улучшенными технико-экономическими показателями. Мощность каждого энергоблока выросла на 25 %, до 1255 МВт по сравнению с энергоблоками действующей Курской АЭС.</w:t>
      </w:r>
    </w:p>
    <w:p>
      <w:pPr>
        <w:pStyle w:val="Normal1"/>
        <w:spacing w:lineRule="auto" w:line="276" w:before="280" w:after="80"/>
        <w:jc w:val="left"/>
        <w:rPr/>
      </w:pPr>
      <w:r>
        <w:rPr/>
      </w:r>
    </w:p>
    <w:sectPr>
      <w:type w:val="nextPage"/>
      <w:pgSz w:w="11906" w:h="16838"/>
      <w:pgMar w:left="900" w:right="881" w:gutter="0" w:header="0" w:top="660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Calibri">
    <w:charset w:val="01"/>
    <w:family w:val="swiss"/>
    <w:pitch w:val="default"/>
  </w:font>
  <w:font w:name="PT Astra Serif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HiddenHorzOCl">
    <w:charset w:val="01"/>
    <w:family w:val="swiss"/>
    <w:pitch w:val="default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f223c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1"/>
    <w:next w:val="Normal1"/>
    <w:qFormat/>
    <w:rsid w:val="00f223cc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1"/>
    <w:next w:val="Normal1"/>
    <w:qFormat/>
    <w:rsid w:val="00f223cc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1"/>
    <w:next w:val="Normal1"/>
    <w:qFormat/>
    <w:rsid w:val="00f223cc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qFormat/>
    <w:rsid w:val="00f223cc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rsid w:val="00f223cc"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1"/>
    <w:next w:val="Normal1"/>
    <w:qFormat/>
    <w:rsid w:val="00f223cc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829cb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7829cb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7829cb"/>
    <w:rPr>
      <w:b/>
      <w:bCs/>
      <w:sz w:val="20"/>
      <w:szCs w:val="20"/>
    </w:rPr>
  </w:style>
  <w:style w:type="character" w:styleId="Style11" w:customStyle="1">
    <w:name w:val="Текст Знак"/>
    <w:basedOn w:val="DefaultParagraphFont"/>
    <w:uiPriority w:val="99"/>
    <w:semiHidden/>
    <w:qFormat/>
    <w:rsid w:val="00f03daf"/>
    <w:rPr>
      <w:rFonts w:ascii="Calibri" w:hAnsi="Calibri" w:eastAsia="Cambria" w:cs="" w:cstheme="minorBidi" w:eastAsiaTheme="minorHAnsi"/>
      <w:szCs w:val="21"/>
      <w:lang w:val="ru-RU" w:eastAsia="en-US"/>
    </w:rPr>
  </w:style>
  <w:style w:type="character" w:styleId="-" w:customStyle="1">
    <w:name w:val="Hyperlink"/>
    <w:basedOn w:val="DefaultParagraphFont"/>
    <w:uiPriority w:val="99"/>
    <w:unhideWhenUsed/>
    <w:rsid w:val="00c30eb8"/>
    <w:rPr>
      <w:color w:val="0000FF"/>
      <w:u w:val="single"/>
    </w:rPr>
  </w:style>
  <w:style w:type="character" w:styleId="Style12">
    <w:name w:val="Emphasis"/>
    <w:basedOn w:val="DefaultParagraphFont"/>
    <w:uiPriority w:val="20"/>
    <w:qFormat/>
    <w:rsid w:val="00794b65"/>
    <w:rPr>
      <w:i/>
      <w:iCs/>
    </w:rPr>
  </w:style>
  <w:style w:type="paragraph" w:styleId="Style13">
    <w:name w:val="Заголовок"/>
    <w:basedOn w:val="Normal1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1"/>
    <w:pPr>
      <w:spacing w:before="0" w:after="140"/>
    </w:pPr>
    <w:rPr/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1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1"/>
    <w:qFormat/>
    <w:pPr>
      <w:suppressLineNumbers/>
    </w:pPr>
    <w:rPr>
      <w:rFonts w:ascii="PT Astra Serif" w:hAnsi="PT Astra Serif"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8">
    <w:name w:val="Title"/>
    <w:basedOn w:val="Normal1"/>
    <w:next w:val="Normal1"/>
    <w:qFormat/>
    <w:rsid w:val="00f223cc"/>
    <w:pPr>
      <w:keepNext w:val="true"/>
      <w:keepLines/>
      <w:spacing w:before="0" w:after="60"/>
    </w:pPr>
    <w:rPr>
      <w:sz w:val="52"/>
      <w:szCs w:val="52"/>
    </w:rPr>
  </w:style>
  <w:style w:type="paragraph" w:styleId="11" w:customStyle="1">
    <w:name w:val="Заголовок1"/>
    <w:basedOn w:val="Normal1"/>
    <w:next w:val="Style14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heading">
    <w:name w:val="index heading"/>
    <w:basedOn w:val="Normal1"/>
    <w:qFormat/>
    <w:pPr>
      <w:suppressLineNumbers/>
    </w:pPr>
    <w:rPr>
      <w:rFonts w:cs="Noto Sans Devanagari"/>
    </w:rPr>
  </w:style>
  <w:style w:type="paragraph" w:styleId="Style19">
    <w:name w:val="Subtitle"/>
    <w:basedOn w:val="Normal1"/>
    <w:next w:val="Normal1"/>
    <w:qFormat/>
    <w:rsid w:val="00f223cc"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1"/>
    <w:uiPriority w:val="99"/>
    <w:semiHidden/>
    <w:unhideWhenUsed/>
    <w:qFormat/>
    <w:rsid w:val="008529f5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1"/>
    <w:uiPriority w:val="99"/>
    <w:semiHidden/>
    <w:unhideWhenUsed/>
    <w:qFormat/>
    <w:rsid w:val="007829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7829cb"/>
    <w:pPr/>
    <w:rPr>
      <w:b/>
      <w:bCs/>
    </w:rPr>
  </w:style>
  <w:style w:type="paragraph" w:styleId="PlainText">
    <w:name w:val="Plain Text"/>
    <w:basedOn w:val="Normal1"/>
    <w:uiPriority w:val="99"/>
    <w:semiHidden/>
    <w:unhideWhenUsed/>
    <w:qFormat/>
    <w:rsid w:val="00f03daf"/>
    <w:pPr>
      <w:spacing w:lineRule="auto" w:line="240"/>
    </w:pPr>
    <w:rPr>
      <w:rFonts w:ascii="Calibri" w:hAnsi="Calibri" w:eastAsia="Cambria" w:cs="" w:cstheme="minorBidi" w:eastAsiaTheme="minorHAnsi"/>
      <w:szCs w:val="21"/>
      <w:lang w:eastAsia="en-US"/>
    </w:rPr>
  </w:style>
  <w:style w:type="paragraph" w:styleId="NormalWeb">
    <w:name w:val="Normal (Web)"/>
    <w:basedOn w:val="Normal1"/>
    <w:uiPriority w:val="99"/>
    <w:unhideWhenUsed/>
    <w:qFormat/>
    <w:rsid w:val="00c30eb8"/>
    <w:pPr>
      <w:spacing w:lineRule="auto" w:line="240" w:beforeAutospacing="1" w:afterAutospacing="1"/>
    </w:pPr>
    <w:rPr>
      <w:rFonts w:ascii="Times New Roman" w:hAnsi="Times New Roman" w:eastAsia="Cambria" w:cs="Times New Roman" w:eastAsiaTheme="minorHAnsi"/>
      <w:sz w:val="24"/>
      <w:szCs w:val="24"/>
    </w:rPr>
  </w:style>
  <w:style w:type="paragraph" w:styleId="Default" w:customStyle="1">
    <w:name w:val="Default"/>
    <w:qFormat/>
    <w:rsid w:val="006262b1"/>
    <w:pPr>
      <w:widowControl/>
      <w:suppressAutoHyphens w:val="true"/>
      <w:bidi w:val="0"/>
      <w:spacing w:lineRule="auto" w:line="276" w:before="0" w:after="0"/>
      <w:jc w:val="left"/>
    </w:pPr>
    <w:rPr>
      <w:rFonts w:ascii="HiddenHorzOCl" w:hAnsi="HiddenHorzOCl" w:eastAsia="Cambria" w:cs="HiddenHorzOCl" w:eastAsiaTheme="minorHAnsi"/>
      <w:color w:val="000000"/>
      <w:kern w:val="0"/>
      <w:sz w:val="24"/>
      <w:szCs w:val="24"/>
      <w:lang w:val="ru-RU" w:eastAsia="en-US" w:bidi="ar-SA"/>
    </w:rPr>
  </w:style>
  <w:style w:type="paragraph" w:styleId="Arttext" w:customStyle="1">
    <w:name w:val="arttext"/>
    <w:basedOn w:val="Normal1"/>
    <w:qFormat/>
    <w:rsid w:val="00c71d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28bf8a64b8551e1msonormal" w:customStyle="1">
    <w:name w:val="228bf8a64b8551e1msonormal"/>
    <w:basedOn w:val="Normal1"/>
    <w:qFormat/>
    <w:rsid w:val="00124a7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0" w:customStyle="1">
    <w:name w:val="Содержимое врезки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rkq2QpUoN1JTYJznHUOcHyF2CIA==">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358</Words>
  <Characters>2608</Characters>
  <CharactersWithSpaces>2966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2021-12-16T08:16:00Z</dcterms:created>
  <dc:creator>Яшина Евгения Николаевна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