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1"/>
        <w:spacing w:lineRule="auto" w:line="240" w:before="0" w:after="0"/>
        <w:jc w:val="both"/>
        <w:rPr>
          <w:color w:val="232323"/>
          <w:sz w:val="28"/>
          <w:szCs w:val="28"/>
        </w:rPr>
      </w:pPr>
      <w:r>
        <w:rPr>
          <w:sz w:val="28"/>
          <w:szCs w:val="28"/>
        </w:rPr>
        <w:t xml:space="preserve">На втором энергоблоке АЭС «Руппур» (Бангладеш) </w:t>
      </w:r>
      <w:r>
        <w:rPr>
          <w:color w:val="232323"/>
          <w:sz w:val="28"/>
          <w:szCs w:val="28"/>
        </w:rPr>
        <w:t>начался монтаж купольной части наружной защитной оболочки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color w:val="1A1A1A"/>
          <w:sz w:val="28"/>
          <w:szCs w:val="28"/>
          <w:highlight w:val="white"/>
        </w:rPr>
      </w:pPr>
      <w:r>
        <w:rPr>
          <w:color w:val="1A1A1A"/>
          <w:sz w:val="28"/>
          <w:szCs w:val="28"/>
          <w:highlight w:val="white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color w:val="1A1A1A"/>
          <w:sz w:val="28"/>
          <w:szCs w:val="28"/>
          <w:highlight w:val="white"/>
        </w:rPr>
      </w:pPr>
      <w:bookmarkStart w:id="0" w:name="_heading=h.gjdgxs"/>
      <w:bookmarkEnd w:id="0"/>
      <w:r>
        <w:rPr>
          <w:color w:val="1A1A1A"/>
          <w:sz w:val="28"/>
          <w:szCs w:val="28"/>
          <w:highlight w:val="white"/>
        </w:rPr>
        <w:t>На площадке сооружения АЭС «Руппур» в Народной Республике Бангладеш (генеральный проектировщик и генеральный подрядчик — Инжиниринговый дивизион Госкорпорации «Росатом») приступили к монтажу купольной части наружной защитной оболочки (НЗО) реакторного здания энергоблока № 2.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color w:val="1A1A1A"/>
          <w:sz w:val="28"/>
          <w:szCs w:val="28"/>
          <w:highlight w:val="white"/>
        </w:rPr>
      </w:pPr>
      <w:r>
        <w:rPr>
          <w:color w:val="1A1A1A"/>
          <w:sz w:val="28"/>
          <w:szCs w:val="28"/>
          <w:highlight w:val="whit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8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1A1A1A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1A1A1A"/>
          <w:position w:val="0"/>
          <w:sz w:val="28"/>
          <w:sz w:val="28"/>
          <w:szCs w:val="28"/>
          <w:highlight w:val="white"/>
          <w:u w:val="none"/>
          <w:vertAlign w:val="baseline"/>
        </w:rPr>
        <w:t xml:space="preserve">Уже завершен монтаж нижнего яруса купола НЗО.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1A1A1A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Монтаж крупногабаритной конструкции весом 200 </w:t>
      </w:r>
      <w:r>
        <w:rPr>
          <w:color w:val="1A1A1A"/>
          <w:sz w:val="28"/>
          <w:szCs w:val="28"/>
        </w:rPr>
        <w:t>т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1A1A1A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и диаметром 46,3 </w:t>
      </w:r>
      <w:r>
        <w:rPr>
          <w:color w:val="1A1A1A"/>
          <w:sz w:val="28"/>
          <w:szCs w:val="28"/>
        </w:rPr>
        <w:t>м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1A1A1A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занял около 5 часов. Наружная защитная оболочка была поднята и смонтирована в проектное положение на высоте 48,8 </w:t>
      </w:r>
      <w:r>
        <w:rPr>
          <w:color w:val="1A1A1A"/>
          <w:sz w:val="28"/>
          <w:szCs w:val="28"/>
        </w:rPr>
        <w:t>м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1A1A1A"/>
          <w:position w:val="0"/>
          <w:sz w:val="28"/>
          <w:sz w:val="28"/>
          <w:szCs w:val="28"/>
          <w:highlight w:val="white"/>
          <w:u w:val="none"/>
          <w:vertAlign w:val="baseline"/>
        </w:rPr>
        <w:t>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color w:val="1A1A1A"/>
          <w:sz w:val="28"/>
          <w:szCs w:val="28"/>
          <w:highlight w:val="white"/>
        </w:rPr>
      </w:pPr>
      <w:r>
        <w:rPr>
          <w:color w:val="1A1A1A"/>
          <w:sz w:val="28"/>
          <w:szCs w:val="28"/>
          <w:highlight w:val="white"/>
        </w:rPr>
        <w:t xml:space="preserve">«Наружная защитная оболочка — одна из ключевых локализующих систем безопасности. Это железобетонная конструкция, защищающая реакторную установку от внешних воздействий и способная выдержать землетрясение, цунами или ураган», — </w:t>
      </w:r>
      <w:r>
        <w:rPr>
          <w:sz w:val="28"/>
          <w:szCs w:val="28"/>
        </w:rPr>
        <w:t>прокомментировал вице-президент АО АСЭ, директор проекта по сооружению АЭС «Руппур» Алексей Дерий.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color w:val="1A1A1A"/>
          <w:sz w:val="28"/>
          <w:szCs w:val="28"/>
          <w:highlight w:val="white"/>
        </w:rPr>
      </w:pPr>
      <w:r>
        <w:rPr>
          <w:color w:val="1A1A1A"/>
          <w:sz w:val="28"/>
          <w:szCs w:val="28"/>
          <w:highlight w:val="white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color w:val="1A1A1A"/>
          <w:sz w:val="28"/>
          <w:szCs w:val="28"/>
          <w:highlight w:val="white"/>
        </w:rPr>
      </w:pPr>
      <w:r>
        <w:rPr>
          <w:color w:val="1A1A1A"/>
          <w:sz w:val="28"/>
          <w:szCs w:val="28"/>
          <w:highlight w:val="white"/>
        </w:rPr>
        <w:t>Помимо наружной защитной оболочки, реакторное здание защищает внутренняя защитная оболочка, которая была смонтирована в июне 2022 года, а забетонирована — в мае 2023 года. Двойная защитная оболочка — отличительная особенность российского проекта энергоблоков с реакторами ВВЭР-1200, которая обеспечивает высочайший уровень безопасности.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color w:val="1A1A1A"/>
          <w:sz w:val="28"/>
          <w:szCs w:val="28"/>
          <w:highlight w:val="white"/>
        </w:rPr>
      </w:pPr>
      <w:r>
        <w:rPr>
          <w:color w:val="1A1A1A"/>
          <w:sz w:val="28"/>
          <w:szCs w:val="28"/>
          <w:highlight w:val="white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color w:val="0563C1"/>
          <w:sz w:val="28"/>
          <w:szCs w:val="28"/>
          <w:highlight w:val="white"/>
          <w:u w:val="single"/>
        </w:rPr>
      </w:pPr>
      <w:r>
        <w:rPr>
          <w:color w:val="1A1A1A"/>
          <w:sz w:val="28"/>
          <w:szCs w:val="28"/>
          <w:highlight w:val="white"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color w:val="0563C1"/>
          <w:sz w:val="28"/>
          <w:szCs w:val="28"/>
          <w:highlight w:val="white"/>
          <w:u w:val="single"/>
        </w:rPr>
      </w:pPr>
      <w:r>
        <w:rPr>
          <w:color w:val="0563C1"/>
          <w:sz w:val="28"/>
          <w:szCs w:val="28"/>
          <w:highlight w:val="white"/>
          <w:u w:val="single"/>
        </w:rPr>
      </w:r>
    </w:p>
    <w:p>
      <w:pPr>
        <w:pStyle w:val="Normal"/>
        <w:rPr/>
      </w:pPr>
      <w:r>
        <w:rPr>
          <w:b/>
          <w:i/>
        </w:rPr>
        <w:t>Справка:</w:t>
      </w:r>
    </w:p>
    <w:p>
      <w:pPr>
        <w:pStyle w:val="Normal"/>
        <w:jc w:val="both"/>
        <w:rPr>
          <w:i/>
          <w:i/>
        </w:rPr>
      </w:pPr>
      <w:r>
        <w:rPr>
          <w:i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 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</w:t>
      </w:r>
    </w:p>
    <w:p>
      <w:pPr>
        <w:pStyle w:val="Normal"/>
        <w:jc w:val="both"/>
        <w:rPr>
          <w:i/>
          <w:i/>
        </w:rPr>
      </w:pPr>
      <w:r>
        <w:rPr>
          <w:i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>
      <w:pPr>
        <w:pStyle w:val="Normal"/>
        <w:jc w:val="both"/>
        <w:rPr>
          <w:i/>
          <w:i/>
        </w:rPr>
      </w:pPr>
      <w:r>
        <w:rPr>
          <w:i/>
        </w:rPr>
        <w:t>Порядка 80 % выручки дивизиона составляют зарубежные проекты.</w:t>
      </w:r>
    </w:p>
    <w:p>
      <w:pPr>
        <w:pStyle w:val="Normal"/>
        <w:jc w:val="both"/>
        <w:rPr>
          <w:i/>
          <w:i/>
        </w:rPr>
      </w:pPr>
      <w:r>
        <w:rPr>
          <w:i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>
      <w:pPr>
        <w:pStyle w:val="Normal"/>
        <w:jc w:val="both"/>
        <w:rPr/>
      </w:pPr>
      <w:r>
        <w:rPr>
          <w:i/>
        </w:rPr>
        <w:t xml:space="preserve">Мы строим надежные и безопасные АЭС с реакторами типа ВВЭР поколения </w:t>
      </w:r>
      <w:r>
        <w:rPr/>
        <w:t>III+</w:t>
      </w:r>
      <w:r>
        <w:rPr>
          <w:i/>
        </w:rPr>
        <w:t>, которые отвечают всем международным требованиям и рекомендациям.</w:t>
      </w:r>
    </w:p>
    <w:p>
      <w:pPr>
        <w:pStyle w:val="Normal"/>
        <w:rPr/>
      </w:pPr>
      <w:hyperlink r:id="rId2">
        <w:r>
          <w:rPr>
            <w:i/>
            <w:color w:val="0000FF"/>
            <w:u w:val="single"/>
          </w:rPr>
          <w:t>www.ase-ec.ru</w:t>
        </w:r>
      </w:hyperlink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color w:val="1A1A1A"/>
          <w:sz w:val="28"/>
          <w:szCs w:val="28"/>
          <w:highlight w:val="white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swiss"/>
    <w:pitch w:val="default"/>
  </w:font>
  <w:font w:name="Arial Narrow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Georgi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4471a"/>
    <w:pPr>
      <w:widowControl/>
      <w:bidi w:val="0"/>
      <w:spacing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1"/>
    <w:link w:val="11"/>
    <w:uiPriority w:val="9"/>
    <w:qFormat/>
    <w:rsid w:val="00036ae1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АСЭРубрика Знак"/>
    <w:link w:val="Style16"/>
    <w:qFormat/>
    <w:rsid w:val="00f6454d"/>
    <w:rPr>
      <w:rFonts w:ascii="Arial Narrow" w:hAnsi="Arial Narrow" w:eastAsia="Times New Roman"/>
      <w:bCs/>
      <w:i/>
      <w:spacing w:val="10"/>
      <w:sz w:val="24"/>
      <w:szCs w:val="24"/>
    </w:rPr>
  </w:style>
  <w:style w:type="character" w:styleId="Style9" w:customStyle="1">
    <w:name w:val="ДатаЦитаты"/>
    <w:uiPriority w:val="1"/>
    <w:qFormat/>
    <w:rsid w:val="00f6454d"/>
    <w:rPr>
      <w:rFonts w:ascii="Cambria" w:hAnsi="Cambria"/>
      <w:i/>
      <w:color w:val="1D1B11"/>
      <w:sz w:val="20"/>
    </w:rPr>
  </w:style>
  <w:style w:type="character" w:styleId="--" w:customStyle="1">
    <w:name w:val="Источник-отрасл-контекст"/>
    <w:uiPriority w:val="1"/>
    <w:qFormat/>
    <w:rsid w:val="00f6454d"/>
    <w:rPr>
      <w:color w:val="3378CB"/>
      <w:sz w:val="20"/>
    </w:rPr>
  </w:style>
  <w:style w:type="character" w:styleId="-">
    <w:name w:val="Hyperlink"/>
    <w:basedOn w:val="DefaultParagraphFont"/>
    <w:uiPriority w:val="99"/>
    <w:unhideWhenUsed/>
    <w:rsid w:val="00e222b2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222b2"/>
    <w:rPr>
      <w:color w:val="605E5C"/>
      <w:shd w:fill="E1DFDD" w:val="clear"/>
    </w:rPr>
  </w:style>
  <w:style w:type="character" w:styleId="11" w:customStyle="1">
    <w:name w:val="Заголовок 1 Знак"/>
    <w:basedOn w:val="DefaultParagraphFont"/>
    <w:uiPriority w:val="9"/>
    <w:qFormat/>
    <w:rsid w:val="00036ae1"/>
    <w:rPr>
      <w:rFonts w:ascii="Times New Roman" w:hAnsi="Times New Roman" w:eastAsia="Times New Roman"/>
      <w:b/>
      <w:bCs/>
      <w:kern w:val="2"/>
      <w:sz w:val="48"/>
      <w:szCs w:val="4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Calibri" w:hAnsi="Calibri"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ru-RU" w:eastAsia="zh-CN" w:bidi="hi-IN"/>
    </w:rPr>
  </w:style>
  <w:style w:type="paragraph" w:styleId="Style15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6" w:customStyle="1">
    <w:name w:val="АСЭРубрика"/>
    <w:basedOn w:val="Normal"/>
    <w:link w:val="Style8"/>
    <w:autoRedefine/>
    <w:qFormat/>
    <w:rsid w:val="00f6454d"/>
    <w:pPr>
      <w:keepNext w:val="true"/>
      <w:spacing w:before="240" w:after="0"/>
      <w:contextualSpacing/>
      <w:jc w:val="both"/>
      <w:outlineLvl w:val="2"/>
    </w:pPr>
    <w:rPr>
      <w:rFonts w:ascii="Arial Narrow" w:hAnsi="Arial Narrow"/>
      <w:bCs/>
      <w:i/>
      <w:spacing w:val="10"/>
    </w:rPr>
  </w:style>
  <w:style w:type="paragraph" w:styleId="Style17" w:customStyle="1">
    <w:name w:val="АСЭСобытие"/>
    <w:basedOn w:val="Normal"/>
    <w:autoRedefine/>
    <w:qFormat/>
    <w:rsid w:val="00f6454d"/>
    <w:pPr>
      <w:keepNext w:val="true"/>
      <w:tabs>
        <w:tab w:val="clear" w:pos="720"/>
        <w:tab w:val="left" w:pos="1134" w:leader="none"/>
      </w:tabs>
      <w:spacing w:before="0" w:after="0"/>
      <w:contextualSpacing/>
      <w:jc w:val="both"/>
    </w:pPr>
    <w:rPr>
      <w:rFonts w:ascii="Arial Narrow" w:hAnsi="Arial Narrow" w:cs="Arial"/>
    </w:rPr>
  </w:style>
  <w:style w:type="paragraph" w:styleId="Style18" w:customStyle="1">
    <w:name w:val="ЦитатаСМИ"/>
    <w:basedOn w:val="Normal"/>
    <w:next w:val="Normal"/>
    <w:autoRedefine/>
    <w:qFormat/>
    <w:rsid w:val="00f6454d"/>
    <w:pPr>
      <w:keepNext w:val="true"/>
      <w:spacing w:before="0" w:after="0"/>
      <w:contextualSpacing/>
      <w:jc w:val="both"/>
    </w:pPr>
    <w:rPr>
      <w:rFonts w:ascii="Arial Narrow" w:hAnsi="Arial Narrow" w:eastAsia="Calibri" w:cs="Arial"/>
      <w:color w:val="595959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036ae1"/>
    <w:pPr>
      <w:spacing w:beforeAutospacing="1" w:afterAutospacing="1"/>
    </w:pPr>
    <w:rPr/>
  </w:style>
  <w:style w:type="paragraph" w:styleId="Style19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e-ec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GDCQJ15QmFMvisVMrJabhbnvHCQ==">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323</Words>
  <Characters>2373</Characters>
  <CharactersWithSpaces>2690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2023-03-07T04:48:00Z</dcterms:created>
  <dc:creator>Пользователь Microsoft Office</dc:creator>
  <dc:description/>
  <dc:language>ru-RU</dc:language>
  <cp:lastModifiedBy/>
  <cp:revision>0</cp:revision>
  <dc:subject/>
  <dc:title/>
</cp:coreProperties>
</file>