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B907A6" w:rsidRDefault="00BE7727">
      <w:pPr>
        <w:jc w:val="left"/>
        <w:rPr>
          <w:b/>
        </w:rPr>
      </w:pPr>
      <w:bookmarkStart w:id="0" w:name="_GoBack"/>
      <w:bookmarkEnd w:id="0"/>
      <w:r>
        <w:rPr>
          <w:b/>
        </w:rPr>
        <w:t xml:space="preserve">Минвостокразвития России, Якутия, Росатом и ПАО «Селигдар» намерены развивать сотрудничество по проектам Кючусского кластера месторождений </w:t>
      </w:r>
    </w:p>
    <w:p w14:paraId="00000002" w14:textId="77777777" w:rsidR="00B907A6" w:rsidRDefault="00B907A6">
      <w:pPr>
        <w:jc w:val="left"/>
        <w:rPr>
          <w:b/>
        </w:rPr>
      </w:pPr>
    </w:p>
    <w:p w14:paraId="00000003" w14:textId="77777777" w:rsidR="00B907A6" w:rsidRDefault="00BE7727">
      <w:r>
        <w:t>Министерство Российской Федерации по развитию Дальнего Востока и Арктики, Правительство Республики Саха (Якутия), Государственная корпорация по атомной энергии «Росатом» и ПАО «Селигдар» подписали соглашение о намерениях сотрудничества в сфере реализации п</w:t>
      </w:r>
      <w:r>
        <w:t xml:space="preserve">роектов </w:t>
      </w:r>
      <w:r>
        <w:t xml:space="preserve">Кючусского кластера месторождений олова, золота и других твердых полезных ископаемых. </w:t>
      </w:r>
      <w:r>
        <w:t xml:space="preserve">Энергоцентром для развития перспективных месторождений арктической части Республики Саха (Якутия) </w:t>
      </w:r>
      <w:r>
        <w:t>станет атом</w:t>
      </w:r>
      <w:r>
        <w:t>ная станция малой мощности (АСММ) на базе отечественн</w:t>
      </w:r>
      <w:r>
        <w:t>ой реакторной установки РИТМ-200Н в поселке Усть-Куйга.</w:t>
      </w:r>
    </w:p>
    <w:p w14:paraId="00000004" w14:textId="77777777" w:rsidR="00B907A6" w:rsidRDefault="00B907A6">
      <w:pPr>
        <w:jc w:val="left"/>
      </w:pPr>
    </w:p>
    <w:p w14:paraId="00000005" w14:textId="77777777" w:rsidR="00B907A6" w:rsidRDefault="00BE7727">
      <w:pPr>
        <w:jc w:val="left"/>
      </w:pPr>
      <w:r>
        <w:t>Подписи под соглашением поставили заместитель министра Российской Федерации по развитию Дальнего Востока и Арктики Анатолий Бобраков, глава Республики Саха (Якутия) Айсен Николаев, генеральный директ</w:t>
      </w:r>
      <w:r>
        <w:t>ор Государственной корпорации по атомной энергии «Росатом» Алексей Лихачёв и генеральный директор ПАО «Селигдар» Сергей Татаринов. Церемония подписания состоялась на полях VIII Восточного экономического форума.</w:t>
      </w:r>
    </w:p>
    <w:p w14:paraId="00000006" w14:textId="77777777" w:rsidR="00B907A6" w:rsidRDefault="00B907A6">
      <w:pPr>
        <w:jc w:val="left"/>
      </w:pPr>
    </w:p>
    <w:p w14:paraId="00000007" w14:textId="77777777" w:rsidR="00B907A6" w:rsidRDefault="00BE7727">
      <w:pPr>
        <w:jc w:val="left"/>
      </w:pPr>
      <w:r>
        <w:t xml:space="preserve">Стороны намерены совместно проработать меры </w:t>
      </w:r>
      <w:r>
        <w:t xml:space="preserve">господдержки для реализации проектов </w:t>
      </w:r>
      <w:r>
        <w:t xml:space="preserve">Кючусского </w:t>
      </w:r>
      <w:r>
        <w:t xml:space="preserve">кластера, направленных на создание новых предприятий и ускоренное экономическое развитие удаленных территорий. </w:t>
      </w:r>
    </w:p>
    <w:p w14:paraId="00000008" w14:textId="77777777" w:rsidR="00B907A6" w:rsidRDefault="00B907A6">
      <w:pPr>
        <w:jc w:val="left"/>
      </w:pPr>
    </w:p>
    <w:p w14:paraId="00000009" w14:textId="77777777" w:rsidR="00B907A6" w:rsidRDefault="00BE7727">
      <w:r>
        <w:t>«Характерные особенности Дальнего Востока и Арктики – это наличие удалённых и изолированных тер</w:t>
      </w:r>
      <w:r>
        <w:t>риторий и большое количество расположенных на них перспективных месторождений полезных ископаемых. Передовые отечественные разработки в сфере малой атомной энергетики позволяют обеспечить электроэнергией крупные горнодобывающие проекты. Уверен, что прорывн</w:t>
      </w:r>
      <w:r>
        <w:t>ые технологии в сочетании с действующими на Дальнем Востоке и в Арктике мерами государственной поддержки дадут мощный эффект, станут важным вкладом в ускоренное социально-экономическое развитие территорий», - отметил заместитель Министра по развитию Дальне</w:t>
      </w:r>
      <w:r>
        <w:t>го Востока и Арктики Анатолий Бобраков.</w:t>
      </w:r>
    </w:p>
    <w:p w14:paraId="0000000A" w14:textId="77777777" w:rsidR="00B907A6" w:rsidRDefault="00B907A6">
      <w:pPr>
        <w:rPr>
          <w:sz w:val="22"/>
          <w:szCs w:val="22"/>
        </w:rPr>
      </w:pPr>
    </w:p>
    <w:p w14:paraId="0000000B" w14:textId="77777777" w:rsidR="00B907A6" w:rsidRDefault="00BE7727">
      <w:pPr>
        <w:spacing w:after="255"/>
        <w:jc w:val="left"/>
        <w:rPr>
          <w:color w:val="171717"/>
        </w:rPr>
      </w:pPr>
      <w:r>
        <w:rPr>
          <w:color w:val="171717"/>
        </w:rPr>
        <w:t>«Атомная станция малой мощности даст мощный импульс для развития арктических районов Якутии. Она обеспечит работу промышленных производств, а также в перспективе заместит действующие дизельные электростанции. При эт</w:t>
      </w:r>
      <w:r>
        <w:rPr>
          <w:color w:val="171717"/>
        </w:rPr>
        <w:t xml:space="preserve">ом, коренным образом будет улучшена и социальная и логистическая инфраструктура ближайших населенных пунктов, что безусловно положительно повлияет на качество жизни людей», – сказал глава Якутии Айсен Николаев. </w:t>
      </w:r>
    </w:p>
    <w:p w14:paraId="0000000C" w14:textId="77777777" w:rsidR="00B907A6" w:rsidRDefault="00BE7727">
      <w:r>
        <w:t xml:space="preserve">«Благодаря проекту АСММ, удаленные северные </w:t>
      </w:r>
      <w:r>
        <w:t xml:space="preserve">территории Якутии получат надежный и качественный источник энергоснабжения для освоения золоторудного месторождения Кючус, месторождений олова Тирехтях и </w:t>
      </w:r>
      <w:r>
        <w:lastRenderedPageBreak/>
        <w:t>Депутатское. Уверен, что совместными усилиями мы создадим в регионе наиболее благоприятные условия для</w:t>
      </w:r>
      <w:r>
        <w:t xml:space="preserve"> реализации крупных промышленных проектов, что будет способствовать повышению инвестиционной привлекательности арктической зоны Республики Саха (Якутия)», - заявил Алексей Лихачев, генеральный директор Госкорпорации «Росатом».</w:t>
      </w:r>
    </w:p>
    <w:p w14:paraId="0000000D" w14:textId="77777777" w:rsidR="00B907A6" w:rsidRDefault="00B907A6"/>
    <w:p w14:paraId="0000000E" w14:textId="77777777" w:rsidR="00B907A6" w:rsidRDefault="00BE7727">
      <w:pPr>
        <w:spacing w:after="255"/>
        <w:jc w:val="left"/>
        <w:rPr>
          <w:color w:val="0C0C0C"/>
        </w:rPr>
      </w:pPr>
      <w:r>
        <w:rPr>
          <w:color w:val="0C0C0C"/>
        </w:rPr>
        <w:t>«Освоение месторождения Кючу</w:t>
      </w:r>
      <w:r>
        <w:rPr>
          <w:color w:val="0C0C0C"/>
        </w:rPr>
        <w:t>с – масштабная и ответственная задача, которая открывает новую страницу в развитии региональной промышленности. Реализация этого крупного проекта позволит создать новые рабочие места, поспособствует развитию инфраструктуры и даст мощный импульс для развити</w:t>
      </w:r>
      <w:r>
        <w:rPr>
          <w:color w:val="0C0C0C"/>
        </w:rPr>
        <w:t xml:space="preserve">я Верхоянского и Усть-Янского районов Якутии. Несмотря на богатство недр, добыча золота в этих местах — крайне сложный процесс, требующий применения передовых технологий и новейших решений в сфере энергетики. </w:t>
      </w:r>
      <w:r>
        <w:t>Холдинг «Селигдар» приложит максимальные усилия</w:t>
      </w:r>
      <w:r>
        <w:t xml:space="preserve"> и применит все наработанные десятилетиями компетенции и знания для эффективного освоения месторождения Кючус</w:t>
      </w:r>
      <w:r>
        <w:rPr>
          <w:color w:val="0C0C0C"/>
        </w:rPr>
        <w:t>», — отметил г</w:t>
      </w:r>
      <w:r>
        <w:t>енеральный директор ПАО «Селигдар» Сергей Татаринов.</w:t>
      </w:r>
      <w:r>
        <w:rPr>
          <w:color w:val="0C0C0C"/>
        </w:rPr>
        <w:t xml:space="preserve">  </w:t>
      </w:r>
    </w:p>
    <w:p w14:paraId="0000000F" w14:textId="77777777" w:rsidR="00B907A6" w:rsidRDefault="00B907A6">
      <w:pPr>
        <w:jc w:val="left"/>
        <w:rPr>
          <w:rFonts w:ascii="Times New Roman" w:eastAsia="Times New Roman" w:hAnsi="Times New Roman" w:cs="Times New Roman"/>
        </w:rPr>
      </w:pPr>
    </w:p>
    <w:p w14:paraId="00000010" w14:textId="77777777" w:rsidR="00B907A6" w:rsidRDefault="00BE7727">
      <w:pPr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Справка:</w:t>
      </w:r>
    </w:p>
    <w:p w14:paraId="00000011" w14:textId="77777777" w:rsidR="00B907A6" w:rsidRDefault="00B907A6">
      <w:pPr>
        <w:jc w:val="left"/>
        <w:rPr>
          <w:rFonts w:ascii="Times New Roman" w:eastAsia="Times New Roman" w:hAnsi="Times New Roman" w:cs="Times New Roman"/>
          <w:shd w:val="clear" w:color="auto" w:fill="FFD821"/>
        </w:rPr>
      </w:pPr>
    </w:p>
    <w:p w14:paraId="00000012" w14:textId="77777777" w:rsidR="00B907A6" w:rsidRDefault="00BE7727">
      <w:r>
        <w:t>Проект сооружения АСММ российского дизайна реализуется на базе нове</w:t>
      </w:r>
      <w:r>
        <w:t xml:space="preserve">йшей отечественной реакторной установки РИТМ-200Н, в основе которой применяется многолетний опыт эксплуатации малых реакторов на судах российского атомного ледокольного флота. К настоящему времени уже восемь реакторов РИТМ-200 изготовлены и установлены на </w:t>
      </w:r>
      <w:r>
        <w:t>четырех универсальных ледоколах. Реализация проекта АСММ обеспечит энергонезависимость и социально-экономическое развитие арктических территорий Якутии. Поставка топлива для АСММ необходима раз в 5 лет, что позволяет обеспечивать стабильное энергоснабжение</w:t>
      </w:r>
      <w:r>
        <w:t xml:space="preserve"> жизненно важных промышленных предприятий и социальных объектов. АСММ станет сердцем одного из крупнейших в России минерально-сырьевых центров, который в перспективе обеспечит электроэнергией промышленные предприятия. Речь идет о развитии месторождений Кюч</w:t>
      </w:r>
      <w:r>
        <w:t>ус, Депутатское, Тирехтях, строительстве транспортной и инженерной инфраструктуры, социальных объектов Усть-Янского и Верхоянского районов, сооружении линий электропередачи. Проект АСММ влечет за собой позитивные преобразования в посёлке Усть-Куйга и Усть-</w:t>
      </w:r>
      <w:r>
        <w:t>Янском районе, что позволит создать развитую территорию, комфортную и для работы, и для жизни. При строительстве АСММ будет создано более 1000 новых рабочих мест, а после пуска станции в эксплуатацию - около 600. В апреле 2023 года получена лицензия на раз</w:t>
      </w:r>
      <w:r>
        <w:t xml:space="preserve">мещение Якутской АСММ, а 29 августа 2023 года состоялась торжественная церемония открытия первого объекта внешней инфраструктуры атомной станции – временного городка строителей в п. Усть-Куйга. </w:t>
      </w:r>
    </w:p>
    <w:p w14:paraId="00000013" w14:textId="77777777" w:rsidR="00B907A6" w:rsidRDefault="00BE7727">
      <w:r>
        <w:t> </w:t>
      </w:r>
    </w:p>
    <w:p w14:paraId="00000014" w14:textId="77777777" w:rsidR="00B907A6" w:rsidRDefault="00BE7727">
      <w:r>
        <w:lastRenderedPageBreak/>
        <w:t>Президент и Правительство РФ расширяют комплекс мер поддерж</w:t>
      </w:r>
      <w:r>
        <w:t>ки отечественной промышленности. Ускоряется реализация крупных проектов, в том числе в сфере энергетики. Российский топливно-энергетический комплекс продолжает плановое обновление мощностей. Эта работа осуществляется с учетом современных трендов цифровизац</w:t>
      </w:r>
      <w:r>
        <w:t>ии и замещения импортного оборудования. Росатом и его предприятия принимаю активное участие в этой работе.</w:t>
      </w:r>
    </w:p>
    <w:p w14:paraId="00000015" w14:textId="77777777" w:rsidR="00B907A6" w:rsidRDefault="00B907A6"/>
    <w:p w14:paraId="00000016" w14:textId="77777777" w:rsidR="00B907A6" w:rsidRDefault="00B907A6"/>
    <w:p w14:paraId="00000017" w14:textId="77777777" w:rsidR="00B907A6" w:rsidRDefault="00B907A6"/>
    <w:p w14:paraId="00000018" w14:textId="77777777" w:rsidR="00B907A6" w:rsidRDefault="00B907A6">
      <w:pPr>
        <w:jc w:val="left"/>
        <w:rPr>
          <w:rFonts w:ascii="Times New Roman" w:eastAsia="Times New Roman" w:hAnsi="Times New Roman" w:cs="Times New Roman"/>
        </w:rPr>
      </w:pPr>
    </w:p>
    <w:sectPr w:rsidR="00B907A6">
      <w:pgSz w:w="11906" w:h="16838"/>
      <w:pgMar w:top="1134" w:right="737" w:bottom="1134" w:left="130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B907A6"/>
    <w:rsid w:val="00281A8A"/>
    <w:rsid w:val="00B907A6"/>
    <w:rsid w:val="00BE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XO Thames" w:hAnsi="XO Thames" w:cs="XO Thames"/>
        <w:sz w:val="28"/>
        <w:szCs w:val="28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next w:val="a"/>
    <w:link w:val="a4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  <w:rPr>
      <w:sz w:val="28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  <w:rPr>
      <w:sz w:val="28"/>
    </w:rPr>
  </w:style>
  <w:style w:type="paragraph" w:styleId="60">
    <w:name w:val="toc 6"/>
    <w:next w:val="a"/>
    <w:link w:val="61"/>
    <w:uiPriority w:val="39"/>
    <w:pPr>
      <w:ind w:left="1000"/>
    </w:pPr>
  </w:style>
  <w:style w:type="character" w:customStyle="1" w:styleId="61">
    <w:name w:val="Оглавление 6 Знак"/>
    <w:link w:val="60"/>
    <w:rPr>
      <w:sz w:val="28"/>
    </w:rPr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  <w:rPr>
      <w:sz w:val="28"/>
    </w:rPr>
  </w:style>
  <w:style w:type="paragraph" w:customStyle="1" w:styleId="Endnote">
    <w:name w:val="Endnote"/>
    <w:link w:val="Endnote0"/>
    <w:pPr>
      <w:ind w:firstLine="851"/>
    </w:pPr>
    <w:rPr>
      <w:sz w:val="22"/>
    </w:rPr>
  </w:style>
  <w:style w:type="character" w:customStyle="1" w:styleId="Endnote0">
    <w:name w:val="Endnote"/>
    <w:link w:val="Endnote"/>
    <w:rPr>
      <w:sz w:val="22"/>
    </w:rPr>
  </w:style>
  <w:style w:type="character" w:customStyle="1" w:styleId="30">
    <w:name w:val="Заголовок 3 Знак"/>
    <w:link w:val="3"/>
    <w:rPr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  <w:rPr>
      <w:sz w:val="28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character" w:customStyle="1" w:styleId="50">
    <w:name w:val="Заголовок 5 Знак"/>
    <w:link w:val="5"/>
    <w:rPr>
      <w:b/>
      <w:sz w:val="22"/>
    </w:rPr>
  </w:style>
  <w:style w:type="character" w:customStyle="1" w:styleId="11">
    <w:name w:val="Заголовок 1 Знак"/>
    <w:link w:val="10"/>
    <w:rPr>
      <w:b/>
      <w:sz w:val="32"/>
    </w:rPr>
  </w:style>
  <w:style w:type="paragraph" w:customStyle="1" w:styleId="15">
    <w:name w:val="Гиперссылка1"/>
    <w:link w:val="a5"/>
    <w:rPr>
      <w:color w:val="0000FF"/>
      <w:u w:val="single"/>
    </w:rPr>
  </w:style>
  <w:style w:type="character" w:styleId="a5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6">
    <w:name w:val="toc 1"/>
    <w:next w:val="a"/>
    <w:link w:val="17"/>
    <w:uiPriority w:val="39"/>
    <w:rPr>
      <w:b/>
    </w:rPr>
  </w:style>
  <w:style w:type="character" w:customStyle="1" w:styleId="17">
    <w:name w:val="Оглавление 1 Знак"/>
    <w:link w:val="16"/>
    <w:rPr>
      <w:b/>
      <w:sz w:val="28"/>
    </w:rPr>
  </w:style>
  <w:style w:type="paragraph" w:customStyle="1" w:styleId="HeaderandFooter">
    <w:name w:val="Header and Footer"/>
    <w:link w:val="HeaderandFooter0"/>
    <w:rPr>
      <w:sz w:val="20"/>
    </w:rPr>
  </w:style>
  <w:style w:type="character" w:customStyle="1" w:styleId="HeaderandFooter0">
    <w:name w:val="Header and Footer"/>
    <w:link w:val="HeaderandFooter"/>
    <w:rPr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  <w:rPr>
      <w:sz w:val="28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  <w:rPr>
      <w:sz w:val="28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  <w:rPr>
      <w:sz w:val="2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  <w:rPr>
      <w:sz w:val="28"/>
    </w:rPr>
  </w:style>
  <w:style w:type="paragraph" w:styleId="a6">
    <w:name w:val="Balloon Text"/>
    <w:basedOn w:val="a"/>
    <w:link w:val="a7"/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styleId="a8">
    <w:name w:val="Subtitle"/>
    <w:basedOn w:val="a"/>
    <w:next w:val="a"/>
    <w:link w:val="a9"/>
    <w:pPr>
      <w:pBdr>
        <w:top w:val="nil"/>
        <w:left w:val="nil"/>
        <w:bottom w:val="nil"/>
        <w:right w:val="nil"/>
        <w:between w:val="nil"/>
      </w:pBdr>
    </w:pPr>
    <w:rPr>
      <w:i/>
      <w:color w:val="000000"/>
      <w:sz w:val="24"/>
      <w:szCs w:val="24"/>
    </w:rPr>
  </w:style>
  <w:style w:type="character" w:customStyle="1" w:styleId="a9">
    <w:name w:val="Подзаголовок Знак"/>
    <w:link w:val="a8"/>
    <w:rPr>
      <w:i/>
    </w:rPr>
  </w:style>
  <w:style w:type="character" w:customStyle="1" w:styleId="a4">
    <w:name w:val="Название Знак"/>
    <w:link w:val="a3"/>
    <w:rPr>
      <w:b/>
      <w:caps/>
      <w:sz w:val="40"/>
    </w:rPr>
  </w:style>
  <w:style w:type="character" w:customStyle="1" w:styleId="40">
    <w:name w:val="Заголовок 4 Знак"/>
    <w:link w:val="4"/>
    <w:rPr>
      <w:b/>
    </w:rPr>
  </w:style>
  <w:style w:type="character" w:customStyle="1" w:styleId="20">
    <w:name w:val="Заголовок 2 Знак"/>
    <w:link w:val="2"/>
    <w:rPr>
      <w:b/>
      <w:sz w:val="28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XO Thames" w:hAnsi="XO Thames" w:cs="XO Thames"/>
        <w:sz w:val="28"/>
        <w:szCs w:val="28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next w:val="a"/>
    <w:link w:val="a4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  <w:rPr>
      <w:sz w:val="28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  <w:rPr>
      <w:sz w:val="28"/>
    </w:rPr>
  </w:style>
  <w:style w:type="paragraph" w:styleId="60">
    <w:name w:val="toc 6"/>
    <w:next w:val="a"/>
    <w:link w:val="61"/>
    <w:uiPriority w:val="39"/>
    <w:pPr>
      <w:ind w:left="1000"/>
    </w:pPr>
  </w:style>
  <w:style w:type="character" w:customStyle="1" w:styleId="61">
    <w:name w:val="Оглавление 6 Знак"/>
    <w:link w:val="60"/>
    <w:rPr>
      <w:sz w:val="28"/>
    </w:rPr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  <w:rPr>
      <w:sz w:val="28"/>
    </w:rPr>
  </w:style>
  <w:style w:type="paragraph" w:customStyle="1" w:styleId="Endnote">
    <w:name w:val="Endnote"/>
    <w:link w:val="Endnote0"/>
    <w:pPr>
      <w:ind w:firstLine="851"/>
    </w:pPr>
    <w:rPr>
      <w:sz w:val="22"/>
    </w:rPr>
  </w:style>
  <w:style w:type="character" w:customStyle="1" w:styleId="Endnote0">
    <w:name w:val="Endnote"/>
    <w:link w:val="Endnote"/>
    <w:rPr>
      <w:sz w:val="22"/>
    </w:rPr>
  </w:style>
  <w:style w:type="character" w:customStyle="1" w:styleId="30">
    <w:name w:val="Заголовок 3 Знак"/>
    <w:link w:val="3"/>
    <w:rPr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  <w:rPr>
      <w:sz w:val="28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character" w:customStyle="1" w:styleId="50">
    <w:name w:val="Заголовок 5 Знак"/>
    <w:link w:val="5"/>
    <w:rPr>
      <w:b/>
      <w:sz w:val="22"/>
    </w:rPr>
  </w:style>
  <w:style w:type="character" w:customStyle="1" w:styleId="11">
    <w:name w:val="Заголовок 1 Знак"/>
    <w:link w:val="10"/>
    <w:rPr>
      <w:b/>
      <w:sz w:val="32"/>
    </w:rPr>
  </w:style>
  <w:style w:type="paragraph" w:customStyle="1" w:styleId="15">
    <w:name w:val="Гиперссылка1"/>
    <w:link w:val="a5"/>
    <w:rPr>
      <w:color w:val="0000FF"/>
      <w:u w:val="single"/>
    </w:rPr>
  </w:style>
  <w:style w:type="character" w:styleId="a5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6">
    <w:name w:val="toc 1"/>
    <w:next w:val="a"/>
    <w:link w:val="17"/>
    <w:uiPriority w:val="39"/>
    <w:rPr>
      <w:b/>
    </w:rPr>
  </w:style>
  <w:style w:type="character" w:customStyle="1" w:styleId="17">
    <w:name w:val="Оглавление 1 Знак"/>
    <w:link w:val="16"/>
    <w:rPr>
      <w:b/>
      <w:sz w:val="28"/>
    </w:rPr>
  </w:style>
  <w:style w:type="paragraph" w:customStyle="1" w:styleId="HeaderandFooter">
    <w:name w:val="Header and Footer"/>
    <w:link w:val="HeaderandFooter0"/>
    <w:rPr>
      <w:sz w:val="20"/>
    </w:rPr>
  </w:style>
  <w:style w:type="character" w:customStyle="1" w:styleId="HeaderandFooter0">
    <w:name w:val="Header and Footer"/>
    <w:link w:val="HeaderandFooter"/>
    <w:rPr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  <w:rPr>
      <w:sz w:val="28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  <w:rPr>
      <w:sz w:val="28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  <w:rPr>
      <w:sz w:val="2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  <w:rPr>
      <w:sz w:val="28"/>
    </w:rPr>
  </w:style>
  <w:style w:type="paragraph" w:styleId="a6">
    <w:name w:val="Balloon Text"/>
    <w:basedOn w:val="a"/>
    <w:link w:val="a7"/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styleId="a8">
    <w:name w:val="Subtitle"/>
    <w:basedOn w:val="a"/>
    <w:next w:val="a"/>
    <w:link w:val="a9"/>
    <w:pPr>
      <w:pBdr>
        <w:top w:val="nil"/>
        <w:left w:val="nil"/>
        <w:bottom w:val="nil"/>
        <w:right w:val="nil"/>
        <w:between w:val="nil"/>
      </w:pBdr>
    </w:pPr>
    <w:rPr>
      <w:i/>
      <w:color w:val="000000"/>
      <w:sz w:val="24"/>
      <w:szCs w:val="24"/>
    </w:rPr>
  </w:style>
  <w:style w:type="character" w:customStyle="1" w:styleId="a9">
    <w:name w:val="Подзаголовок Знак"/>
    <w:link w:val="a8"/>
    <w:rPr>
      <w:i/>
    </w:rPr>
  </w:style>
  <w:style w:type="character" w:customStyle="1" w:styleId="a4">
    <w:name w:val="Название Знак"/>
    <w:link w:val="a3"/>
    <w:rPr>
      <w:b/>
      <w:caps/>
      <w:sz w:val="40"/>
    </w:rPr>
  </w:style>
  <w:style w:type="character" w:customStyle="1" w:styleId="40">
    <w:name w:val="Заголовок 4 Знак"/>
    <w:link w:val="4"/>
    <w:rPr>
      <w:b/>
    </w:rPr>
  </w:style>
  <w:style w:type="character" w:customStyle="1" w:styleId="20">
    <w:name w:val="Заголовок 2 Знак"/>
    <w:link w:val="2"/>
    <w:rPr>
      <w:b/>
      <w:sz w:val="28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bWchzyX4oA0KNtgEXtW0vth7gw==">CgMxLjA4AHIhMU96VWptZHdoTldLY2lRTnlVSDk4OHhORGVGUnN5SFR0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Seloy</cp:lastModifiedBy>
  <cp:revision>2</cp:revision>
  <dcterms:created xsi:type="dcterms:W3CDTF">2023-09-12T07:26:00Z</dcterms:created>
  <dcterms:modified xsi:type="dcterms:W3CDTF">2023-09-12T07:26:00Z</dcterms:modified>
</cp:coreProperties>
</file>