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b/>
          <w:color w:val="000000"/>
          <w:sz w:val="24"/>
          <w:szCs w:val="24"/>
          <w:highlight w:val="white"/>
        </w:rPr>
        <w:t>Ученые Росатома провели VR-экскурсию по термоядерному реактору на Фестивале молодого искусства «Таврида.АРТ»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b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>Молодые ученые Троицкого института инновационных и термоядерных исследований (АО «ГНЦ РФ ТРИНИТИ», входит в Госкорпорацию «Росатом») Асхат Хайров и Кирилл Сомов провели презентацию последних разработок Росатома в области термоядерных и плазменных технологий под симфонический оркестр. Шоу «Звуки атомов» прошло впервые на фестивале «Таврида.АРТ». Такая необычная коллаборация науки, технологий и искусства стала возможной благодаря инициативе «Наука как искусство» Десятилетия науки и технологий.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С помощью VR-очков участники фестиваля смогли посетить экспериментальный зал термоядерного реактора, при помощи манипуляторов разобрать и собрать основные узлы термоядерной установки, вблизи рассмотреть ее элементы и плазму. Основное назначение этой виртуальной модели </w:t>
      </w:r>
      <w:r>
        <w:rPr>
          <w:rFonts w:eastAsia="Arial" w:cs="Arial" w:ascii="Arial" w:hAnsi="Arial"/>
          <w:sz w:val="24"/>
          <w:szCs w:val="24"/>
          <w:highlight w:val="white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демонстрация оборудования, визуальная оценка и контроль конструкторских решений, принятых при проектировании инфраструктуры токамака. Она позволяет оценить и выбрать оптимальные решения по размещению объектов будущей установки </w:t>
      </w:r>
      <w:r>
        <w:rPr>
          <w:rFonts w:eastAsia="Arial" w:cs="Arial" w:ascii="Arial" w:hAnsi="Arial"/>
          <w:sz w:val="24"/>
          <w:szCs w:val="24"/>
          <w:highlight w:val="white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токамака реакторных технологий (ТРТ).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>Затем под видеоряд про освоение космоса и известные классические музыкальные произведения Кирилл Сомов вместе с участниками отправился в путешествие к новым горизонтам во вселенной. Он рассказал про различные типы космических двигателей, про современные разработки российских ученых в этой области и про достижения ученых ГНЦ РФ ТРИНИТИ в исследованиях плазмы. В частности, про разрабатываемый институтом прототип плазменного ракетного двигателя с повышенными параметрами тяги и удельного импульса. Такой двигатель необходим для активного освоения космоса, регулярного обмена грузами между Землей и Луной, для полетов к Марсу.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  <w:t>«Этот фестиваль настолько масштабен и незабываем, такой концентрации науки, технологии, творчества и креатива я никогда не встречал! Я счастлив, что, работая в Росатоме, имею возможность принимать участие в таких грандиозных молодежных мероприятиях!»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</w:t>
      </w:r>
      <w:r>
        <w:rPr>
          <w:rFonts w:eastAsia="Arial" w:cs="Arial" w:ascii="Arial" w:hAnsi="Arial"/>
          <w:sz w:val="24"/>
          <w:szCs w:val="24"/>
          <w:highlight w:val="white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поделился своими впечатлениями стажер ГНЦ РФ ТРИНИТИ Кирилл Сомов.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Все представленные проекты: токамак с реакторными технологиями и прототип плазменного ракетного двигателя </w:t>
      </w:r>
      <w:r>
        <w:rPr>
          <w:rFonts w:eastAsia="Arial" w:cs="Arial" w:ascii="Arial" w:hAnsi="Arial"/>
          <w:sz w:val="24"/>
          <w:szCs w:val="24"/>
          <w:highlight w:val="white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highlight w:val="white"/>
        </w:rPr>
        <w:t xml:space="preserve"> разрабатываются специалистами ГНЦ РФ ТРИНИТИ в рамках комплексной программы «Развитие техники, технологий и научных исследований в области использования атомной энергии в РФ» (КП РТТН).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i/>
          <w:i/>
          <w:sz w:val="24"/>
          <w:szCs w:val="24"/>
          <w:highlight w:val="white"/>
        </w:rPr>
      </w:pPr>
      <w:r>
        <w:rPr>
          <w:rFonts w:eastAsia="Arial" w:cs="Arial" w:ascii="Arial" w:hAnsi="Arial"/>
          <w:b/>
          <w:i/>
          <w:sz w:val="24"/>
          <w:szCs w:val="24"/>
          <w:highlight w:val="white"/>
        </w:rPr>
        <w:t>С</w:t>
      </w:r>
      <w:r>
        <w:rPr>
          <w:rFonts w:eastAsia="Arial" w:cs="Arial" w:ascii="Arial" w:hAnsi="Arial"/>
          <w:b/>
          <w:i/>
          <w:color w:val="000000"/>
          <w:sz w:val="24"/>
          <w:szCs w:val="24"/>
          <w:highlight w:val="white"/>
        </w:rPr>
        <w:t>правк</w:t>
      </w:r>
      <w:r>
        <w:rPr>
          <w:rFonts w:eastAsia="Arial" w:cs="Arial" w:ascii="Arial" w:hAnsi="Arial"/>
          <w:b/>
          <w:i/>
          <w:sz w:val="24"/>
          <w:szCs w:val="24"/>
          <w:highlight w:val="white"/>
        </w:rPr>
        <w:t xml:space="preserve">а: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i/>
          <w:i/>
          <w:sz w:val="24"/>
          <w:szCs w:val="24"/>
          <w:highlight w:val="white"/>
        </w:rPr>
      </w:pPr>
      <w:r>
        <w:rPr>
          <w:rFonts w:eastAsia="Arial" w:cs="Arial" w:ascii="Arial" w:hAnsi="Arial"/>
          <w:b/>
          <w:i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i/>
          <w:i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b/>
          <w:i/>
          <w:color w:val="000000"/>
          <w:sz w:val="24"/>
          <w:szCs w:val="24"/>
          <w:highlight w:val="white"/>
        </w:rPr>
        <w:t>«Таврида.АРТ»</w:t>
      </w: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  <w:t xml:space="preserve"> </w:t>
      </w:r>
      <w:r>
        <w:rPr>
          <w:rFonts w:eastAsia="Arial" w:cs="Arial" w:ascii="Arial" w:hAnsi="Arial"/>
          <w:i/>
          <w:sz w:val="24"/>
          <w:szCs w:val="24"/>
          <w:highlight w:val="white"/>
        </w:rPr>
        <w:t>—</w:t>
      </w: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  <w:t xml:space="preserve"> платформа возможностей для молодых деятелей творческих индустрий, культуры и искусства, объединяющая образовательные заезды, фестиваль, кастинг-платформу, грантовый конкурс, федеральную сеть арт-резиденций, Академию творческих индустрий «Меганом» и другие проекты.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i/>
          <w:i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i/>
          <w:i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b/>
          <w:i/>
          <w:color w:val="000000"/>
          <w:sz w:val="24"/>
          <w:szCs w:val="24"/>
          <w:highlight w:val="white"/>
        </w:rPr>
        <w:t>Фестиваль молодого искусства «Таврида.</w:t>
      </w:r>
      <w:r>
        <w:rPr>
          <w:rFonts w:eastAsia="Arial" w:cs="Arial" w:ascii="Arial" w:hAnsi="Arial"/>
          <w:b/>
          <w:i/>
          <w:sz w:val="24"/>
          <w:szCs w:val="24"/>
          <w:highlight w:val="white"/>
        </w:rPr>
        <w:t>АРТ</w:t>
      </w:r>
      <w:r>
        <w:rPr>
          <w:rFonts w:eastAsia="Arial" w:cs="Arial" w:ascii="Arial" w:hAnsi="Arial"/>
          <w:b/>
          <w:i/>
          <w:color w:val="000000"/>
          <w:sz w:val="24"/>
          <w:szCs w:val="24"/>
          <w:highlight w:val="white"/>
        </w:rPr>
        <w:t>»</w:t>
      </w: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  <w:t xml:space="preserve"> завершил работу в Крыму в воскресенье, 20 августа. На площадке организаторы представили сотни локаций и десятки арт-объектов и провели разнообразные мероприятия. Резиденты фестиваля станут авторами культурной программы Всемирного фестиваля молодежи, который по поручению </w:t>
      </w:r>
      <w:r>
        <w:rPr>
          <w:rFonts w:eastAsia="Arial" w:cs="Arial" w:ascii="Arial" w:hAnsi="Arial"/>
          <w:i/>
          <w:sz w:val="24"/>
          <w:szCs w:val="24"/>
          <w:highlight w:val="white"/>
        </w:rPr>
        <w:t>П</w:t>
      </w: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  <w:t xml:space="preserve">резидента РФ проведут в марте 2024 года.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i/>
          <w:i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i/>
          <w:i/>
          <w:sz w:val="24"/>
          <w:szCs w:val="24"/>
        </w:rPr>
      </w:pPr>
      <w:r>
        <w:rPr>
          <w:rFonts w:eastAsia="Arial" w:cs="Arial" w:ascii="Arial" w:hAnsi="Arial"/>
          <w:b/>
          <w:i/>
          <w:sz w:val="24"/>
          <w:szCs w:val="24"/>
        </w:rPr>
        <w:t xml:space="preserve">Президент РФ Владимир Путин 25 апреля подписал указ, в соответствии с которым 2022–2031 годы объявляются в России «Десятилетием науки и технологий». </w:t>
      </w:r>
      <w:r>
        <w:rPr>
          <w:rFonts w:eastAsia="Arial" w:cs="Arial" w:ascii="Arial" w:hAnsi="Arial"/>
          <w:i/>
          <w:sz w:val="24"/>
          <w:szCs w:val="24"/>
        </w:rPr>
        <w:t>Основными задачами десятилетия станут привлечение талантливой молодежи в сферу исследований и разработок, содействие вовлечению научного сообщества в решение важнейших задач развития общества и страны, повышение доступности информации о достижениях и перспективах развития науки для граждан России.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i/>
          <w:i/>
          <w:sz w:val="24"/>
          <w:szCs w:val="24"/>
        </w:rPr>
      </w:pPr>
      <w:r>
        <w:rPr>
          <w:rFonts w:eastAsia="Arial" w:cs="Arial" w:ascii="Arial" w:hAnsi="Arial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i/>
          <w:i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b/>
          <w:i/>
          <w:color w:val="000000"/>
          <w:sz w:val="24"/>
          <w:szCs w:val="24"/>
          <w:highlight w:val="white"/>
        </w:rPr>
        <w:t xml:space="preserve">Комплексная программа «Развитие техники, технологий и научных исследований в области использования атомной энергии в РФ» (КП РТТН) </w:t>
      </w: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  <w:t>разработана Госкорпорацией «Росатом» совместно с НИЦ «Курчатовский институт», Российской академией наук, Министерством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В апреле 2022 года указом Президента РФ принято решение о продлении КП РТТН до 2030 года, в настоящее время продолжаются мероприятия, направленные на выполнение Указа. Головной научной организацией по КП РТТН определен НИЦ «Курчатовский институт».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i/>
          <w:i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i/>
          <w:i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  <w:t>КП РТТН, как проект «Атомная отрасль — науке и миру», представлена также в инициативе «Решения и сервисы для профессионального сообщества» Десятилетия науки и технологий.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i/>
          <w:i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i/>
          <w:i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  <w:t>Одн</w:t>
      </w:r>
      <w:r>
        <w:rPr>
          <w:rFonts w:eastAsia="Arial" w:cs="Arial" w:ascii="Arial" w:hAnsi="Arial"/>
          <w:i/>
          <w:sz w:val="24"/>
          <w:szCs w:val="24"/>
          <w:highlight w:val="white"/>
        </w:rPr>
        <w:t>а</w:t>
      </w: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  <w:t xml:space="preserve"> из первостепенных задач государства </w:t>
      </w:r>
      <w:r>
        <w:rPr>
          <w:rFonts w:eastAsia="Arial" w:cs="Arial" w:ascii="Arial" w:hAnsi="Arial"/>
          <w:i/>
          <w:sz w:val="24"/>
          <w:szCs w:val="24"/>
          <w:highlight w:val="white"/>
        </w:rPr>
        <w:t>—</w:t>
      </w: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  <w:t xml:space="preserve"> формирование условий для эффективного развития науки. Инновационные технологии Росатома основаны на передовых научных достижениях.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41e8e"/>
    <w:rPr>
      <w:b/>
      <w:bCs/>
    </w:rPr>
  </w:style>
  <w:style w:type="character" w:styleId="-">
    <w:name w:val="Hyperlink"/>
    <w:basedOn w:val="DefaultParagraphFont"/>
    <w:uiPriority w:val="99"/>
    <w:semiHidden/>
    <w:unhideWhenUsed/>
    <w:rsid w:val="00305646"/>
    <w:rPr>
      <w:color w:val="0000FF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UbfdbLfcxSGmgKW0E2f3xou+Vmw==">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587</Words>
  <Characters>4259</Characters>
  <CharactersWithSpaces>4842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2023-08-21T12:44:00Z</dcterms:created>
  <dc:creator>Кравец Елена Григорьевна</dc:creator>
  <dc:description/>
  <dc:language>ru-RU</dc:language>
  <cp:lastModifiedBy/>
  <cp:revision>0</cp:revision>
  <dc:subject/>
  <dc:title/>
</cp:coreProperties>
</file>