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spacing w:lineRule="auto" w:line="232" w:before="0" w:after="160"/>
        <w:jc w:val="both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Росатом принял участие в форуме «Ecology Expo-2023» в Минске</w:t>
      </w:r>
    </w:p>
    <w:p>
      <w:pPr>
        <w:pStyle w:val="Normal1"/>
        <w:shd w:val="clear" w:fill="FFFFFF"/>
        <w:spacing w:lineRule="auto" w:line="232" w:before="0" w:after="160"/>
        <w:jc w:val="both"/>
        <w:rPr>
          <w:sz w:val="24"/>
          <w:szCs w:val="24"/>
        </w:rPr>
      </w:pPr>
      <w:r>
        <w:rPr>
          <w:color w:val="222222"/>
          <w:highlight w:val="white"/>
        </w:rPr>
        <w:t>Делегация Госкорпорации «Росатом» во главе с директором направления по реализации государственных и отраслевых программ в сфере экологии Андреем Лебедевым приняла участие в торжественной церемонии открытия Международной специализированной выставки-форума «Ecology Expo-2023» в Минске.</w:t>
      </w:r>
    </w:p>
    <w:p>
      <w:pPr>
        <w:pStyle w:val="Normal1"/>
        <w:shd w:val="clear" w:fill="FFFFFF"/>
        <w:spacing w:lineRule="auto" w:line="232" w:before="0" w:after="16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«Для Госкорпорации экология — это образ жизни: мы создаем новый экологически чистый мир для будущих поколений, формируем новую экокультуру и современную инфраструктуру, обеспечивая достойное социально-экономическое развитие территорий присутствия. Кроме традиционных зеленых атомных продуктов, мы сегодня также активно развиваем новые эконаправления из разных отраслей экономики: ветроэнергетику, водородную энергетику, создание накопителей энергии и электродвижение, производство композитных материалов, аддитивные технологии, обращение с отходами. При этом Росатом всегда готов предложить партнерам уникальные технологические решения, компетенции и опыт», — отметил Андрей Лебедев.</w:t>
      </w:r>
    </w:p>
    <w:p>
      <w:pPr>
        <w:pStyle w:val="Normal1"/>
        <w:shd w:val="clear" w:fill="FFFFFF"/>
        <w:spacing w:lineRule="auto" w:line="232" w:before="0" w:after="160"/>
        <w:jc w:val="both"/>
        <w:rPr>
          <w:sz w:val="24"/>
          <w:szCs w:val="24"/>
        </w:rPr>
      </w:pPr>
      <w:r>
        <w:rPr>
          <w:color w:val="222222"/>
          <w:highlight w:val="white"/>
        </w:rPr>
        <w:t>В рамках деловой программы представители Росатома приняли участие в работе открытой диалоговой площадки «Развитие экономики замкнутого цикла в Республике Беларусь», рассказав о компетенциях и перспективных технологиях Госкорпорации в области обращения с отходами и переработки материалов.</w:t>
      </w:r>
    </w:p>
    <w:p>
      <w:pPr>
        <w:pStyle w:val="Normal1"/>
        <w:shd w:val="clear" w:fill="FFFFFF"/>
        <w:spacing w:lineRule="auto" w:line="232" w:before="0" w:after="16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«У Росатома есть много успешных примеров реализации проектов в логике циклической экономики. Это прежде всего замкнутый ядерный топливный цикл, позволяющий минимизировать объемы подлежащих конечной изоляции радиоактивных отходов и отработавшего ядерного топлива. Мы также формируем непрерывные производственные цепи: например, от добычи лития, производства на его основе химических источников тока, переработки отслуживших срок эксплуатации аккумуляторов с получением полезных элементов для повторного производства накопителей энергии. Важная задача — строительство на территории России сети новых предприятий обращения с отходами I–II классов с возвратом до 70 % во вторичный хозяйственный оборот элементов, выделенных при их утилизации. И конечно, мероприятия по ликвидации Росатомом сложных объектов накопленного вреда окружающей среде позволяют очистить природу от опасного наследия прошлого и вернуть ей первозданную чистоту», — подчеркнул Андрей Лебедев.</w:t>
      </w:r>
    </w:p>
    <w:p>
      <w:pPr>
        <w:pStyle w:val="Normal1"/>
        <w:shd w:val="clear" w:fill="FFFFFF"/>
        <w:spacing w:lineRule="auto" w:line="232" w:before="0" w:after="16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</w:r>
    </w:p>
    <w:p>
      <w:pPr>
        <w:pStyle w:val="Normal1"/>
        <w:shd w:val="clear" w:fill="FFFFFF"/>
        <w:spacing w:lineRule="auto" w:line="232" w:before="0" w:after="16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Для справки:</w:t>
      </w:r>
    </w:p>
    <w:p>
      <w:pPr>
        <w:pStyle w:val="Normal1"/>
        <w:shd w:val="clear" w:fill="FFFFFF"/>
        <w:spacing w:lineRule="auto" w:line="232" w:before="0" w:after="16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Белорусско-российское стратегическое взаимодействие охватывает ключевые направления, обеспечивающие энергетическую безопасность государств.</w:t>
      </w:r>
    </w:p>
    <w:p>
      <w:pPr>
        <w:pStyle w:val="Normal1"/>
        <w:shd w:val="clear" w:fill="FFFFFF"/>
        <w:spacing w:lineRule="auto" w:line="232" w:before="0" w:after="160"/>
        <w:jc w:val="both"/>
        <w:rPr>
          <w:sz w:val="24"/>
          <w:szCs w:val="24"/>
        </w:rPr>
      </w:pPr>
      <w:r>
        <w:rPr>
          <w:rFonts w:eastAsia="Arial Unicode MS" w:cs="Arial Unicode MS" w:ascii="Arial Unicode MS" w:hAnsi="Arial Unicode MS"/>
          <w:color w:val="222222"/>
          <w:highlight w:val="white"/>
        </w:rPr>
        <w:t>Крупнейшим совместным проектом является сооружение Белорусской АЭС с двумя реакторами ВВЭР-1200 суммарной мощностью 2400 МВт в г. Островце (Республика Беларусь). Блок № 1 стал первым блоком поколения III+, построенным по российским технологиям за рубежом. Он принят в промышленную эксплуатацию 10 июня 2021 года. После того как блок № 2 заработает на полную мощность, выработка электроэнергии Белорусской АЭС вырастет до 18 млрд кВт⋅ч в год. Станция обеспечит около 40 % потребностей Белоруссии в электроэнергии и позволит ежегодно замещать порядка 4,5 млрд кубометров природного газа.</w:t>
      </w:r>
    </w:p>
    <w:p>
      <w:pPr>
        <w:pStyle w:val="Normal1"/>
        <w:shd w:val="clear" w:fill="FFFFFF"/>
        <w:spacing w:lineRule="auto" w:line="232" w:before="0" w:after="160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Сооружение АЭС дало новый импульс экономическому и социальному развитию региона ее размещения — Гродненской области. Сегодня город-спутник Островец — это современный город, где есть все необходимые условия для комфортного проживания и работы. С момента начала строительства атомных энергоблоков население города увеличилось почти в два раза и сейчас составляет более 14 тыс. человек. За несколько лет были построены три жилых микрорайона общей численностью более 4 тыс. квартир и площадью более 300 тыс. кв. м, две школы, пять детских садов, центр творчества детей и молодежи, многофункциональный комплекс социально-культурного назначения, физкультурно- и спортивно-оздоровительные комплексы, новая центральная районная клиническая больница, множество других учреждений социальной инфраструктуры.</w:t>
      </w:r>
    </w:p>
    <w:p>
      <w:pPr>
        <w:pStyle w:val="Normal1"/>
        <w:shd w:val="clear" w:fill="FFFFFF"/>
        <w:spacing w:lineRule="auto" w:line="232" w:before="0" w:after="160"/>
        <w:jc w:val="both"/>
        <w:rPr>
          <w:sz w:val="24"/>
          <w:szCs w:val="24"/>
        </w:rPr>
      </w:pPr>
      <w:r>
        <w:rPr>
          <w:color w:val="222222"/>
          <w:highlight w:val="white"/>
        </w:rPr>
        <w:t>Также изучаются возможности по реализации белорусской стороной совместных с Госкорпорацией «Росатом» проектов в сфере обращения с отходами, квантовых технологий и научных исследований в области сельского хозяйства и радиобиологии, ядерной медицины, материаловедения и иных высокотехнологичных отраслей.</w:t>
      </w:r>
    </w:p>
    <w:p>
      <w:pPr>
        <w:pStyle w:val="Normal1"/>
        <w:shd w:val="clear" w:fill="FFFFFF"/>
        <w:spacing w:lineRule="auto" w:line="232" w:before="0" w:after="160"/>
        <w:jc w:val="both"/>
        <w:rPr>
          <w:sz w:val="24"/>
          <w:szCs w:val="24"/>
        </w:rPr>
      </w:pPr>
      <w:r>
        <w:rPr>
          <w:color w:val="222222"/>
          <w:highlight w:val="white"/>
        </w:rPr>
        <w:t>С учетом присутствия Росатома более чем в 60 странах Госкорпорация вносит существенный вклад в решение социально-экономических задач территорий присутствия, а также в реализацию глобальных целей по снижению углеродного следа и сохранению экосистем как на национальном уровне, так и в мировом масштабе. Залог успешного сотрудничества — гармонизация подходов: в 2022 году начата работа по подготовке Концепции сотрудничества государств — участников СНГ в области обращения с опасными отходами и ликвидации объектов накопленного вреда окружающей среде. Активно прорабатывается возможность совместной реализации НИОКР по технологическим проектам в сфере утилизации опасных отходов, а также использования в стране электротранспорта, современных материалов, инновационных цифровых решений.</w:t>
      </w:r>
    </w:p>
    <w:p>
      <w:pPr>
        <w:pStyle w:val="Normal1"/>
        <w:shd w:val="clear" w:fill="FFFFFF"/>
        <w:spacing w:lineRule="auto" w:line="232" w:before="0" w:after="160"/>
        <w:jc w:val="both"/>
        <w:rPr>
          <w:b/>
          <w:sz w:val="24"/>
          <w:szCs w:val="24"/>
        </w:rPr>
      </w:pPr>
      <w:r>
        <w:rPr>
          <w:color w:val="222222"/>
          <w:highlight w:val="white"/>
        </w:rPr>
        <w:t>Россия активно развивает сотрудничество с дружественными государствами. Продолжается реализация крупных совместных проектов. Росатом и его дивизионы принимают активное участие в этой работе.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616</Words>
  <Characters>4471</Characters>
  <CharactersWithSpaces>5082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