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hd w:val="clear" w:fill="FFFFFF"/>
        <w:jc w:val="both"/>
        <w:rPr>
          <w:rFonts w:ascii="Trebuchet MS" w:hAnsi="Trebuchet MS" w:eastAsia="Trebuchet MS" w:cs="Trebuchet MS"/>
          <w:b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b/>
          <w:color w:val="343433"/>
          <w:sz w:val="24"/>
          <w:szCs w:val="24"/>
        </w:rPr>
        <w:t>На стройплощадке Курской АЭС-2 завершено бетонирование оболочки самых высоких градирен в России</w:t>
      </w:r>
    </w:p>
    <w:p>
      <w:pPr>
        <w:pStyle w:val="Normal1"/>
        <w:shd w:val="clear" w:fill="FFFFFF"/>
        <w:jc w:val="both"/>
        <w:rPr>
          <w:rFonts w:ascii="Trebuchet MS" w:hAnsi="Trebuchet MS" w:eastAsia="Trebuchet MS" w:cs="Trebuchet MS"/>
          <w:b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b/>
          <w:color w:val="343433"/>
          <w:sz w:val="24"/>
          <w:szCs w:val="24"/>
        </w:rPr>
      </w:r>
    </w:p>
    <w:p>
      <w:pPr>
        <w:pStyle w:val="Normal1"/>
        <w:shd w:val="clear" w:fill="FFFFFF"/>
        <w:spacing w:lineRule="auto" w:line="240" w:before="0" w:after="120"/>
        <w:jc w:val="both"/>
        <w:rPr>
          <w:rFonts w:ascii="Trebuchet MS" w:hAnsi="Trebuchet MS" w:eastAsia="Trebuchet MS" w:cs="Trebuchet MS"/>
          <w:color w:val="343433"/>
          <w:sz w:val="24"/>
          <w:szCs w:val="24"/>
        </w:rPr>
      </w:pPr>
      <w:r>
        <w:rPr>
          <w:rFonts w:eastAsia="Arial" w:cs="Arial"/>
          <w:color w:val="343433"/>
          <w:sz w:val="24"/>
          <w:szCs w:val="24"/>
        </w:rPr>
        <w:t xml:space="preserve">Строители Курской АЭС-2 завершили сооружение оболочки градирни энергоблока № 2. На сооружение башни специалистам потребовалось два года и один месяц. Теперь на Курской АЭС две самые высокие градирни в России — каждая по 179 м, 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>что соответствует высоте примерно 2,5 Спасских башен Московского Кремля.</w:t>
      </w:r>
    </w:p>
    <w:p>
      <w:pPr>
        <w:pStyle w:val="Normal1"/>
        <w:shd w:val="clear" w:fill="FFFFFF"/>
        <w:spacing w:lineRule="auto" w:line="240" w:before="0" w:after="120"/>
        <w:jc w:val="both"/>
        <w:rPr>
          <w:rFonts w:ascii="Trebuchet MS" w:hAnsi="Trebuchet MS" w:eastAsia="Trebuchet MS" w:cs="Trebuchet MS"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color w:val="343433"/>
          <w:sz w:val="24"/>
          <w:szCs w:val="24"/>
        </w:rPr>
        <w:t>Несмотря на жесткие требования, предъявляемые к качеству, условиям (теплое время года), а также технологии выполнения работ, строителям удалось завершить сооружение с опережением графика.</w:t>
      </w:r>
    </w:p>
    <w:p>
      <w:pPr>
        <w:pStyle w:val="Normal1"/>
        <w:shd w:val="clear" w:fill="FFFFFF"/>
        <w:spacing w:lineRule="auto" w:line="240" w:before="0" w:after="120"/>
        <w:jc w:val="both"/>
        <w:rPr>
          <w:rFonts w:ascii="Trebuchet MS" w:hAnsi="Trebuchet MS" w:eastAsia="Trebuchet MS" w:cs="Trebuchet MS"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color w:val="343433"/>
          <w:sz w:val="24"/>
          <w:szCs w:val="24"/>
        </w:rPr>
        <w:t>Ход сооружения энергоблоков ВВЭР-ТОИ проконтролировали первый заместитель генерального директора по атомной энергетике Госкорпорации «Росатом», президент АО АСЭ Андрей Петров и генеральный директор АО «Концерн Росэнергоатом» Александр Шутиков.</w:t>
      </w:r>
    </w:p>
    <w:p>
      <w:pPr>
        <w:pStyle w:val="Normal1"/>
        <w:shd w:val="clear" w:fill="FFFFFF"/>
        <w:spacing w:lineRule="auto" w:line="240" w:before="0" w:after="120"/>
        <w:jc w:val="both"/>
        <w:rPr>
          <w:rFonts w:ascii="Trebuchet MS" w:hAnsi="Trebuchet MS" w:eastAsia="Trebuchet MS" w:cs="Trebuchet MS"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color w:val="343433"/>
          <w:sz w:val="24"/>
          <w:szCs w:val="24"/>
        </w:rPr>
        <w:t xml:space="preserve">«Курская площадка для атомной промышленности имеет стратегическое значение. Решения, технологии, которые будем тиражировать на зарубежных стройках, отрабатываем здесь, — отметил в ходе визита </w:t>
      </w:r>
      <w:r>
        <w:rPr>
          <w:rFonts w:eastAsia="Trebuchet MS" w:cs="Trebuchet MS" w:ascii="Trebuchet MS" w:hAnsi="Trebuchet MS"/>
          <w:b/>
          <w:color w:val="343433"/>
          <w:sz w:val="24"/>
          <w:szCs w:val="24"/>
        </w:rPr>
        <w:t>Андрей Петров.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 xml:space="preserve"> — Развивая энергетическую инфраструктуру, сооружая новые мощности, мы гарантируем экономическую стабильность страны».</w:t>
      </w:r>
    </w:p>
    <w:p>
      <w:pPr>
        <w:pStyle w:val="Normal1"/>
        <w:shd w:val="clear" w:fill="FFFFFF"/>
        <w:spacing w:lineRule="auto" w:line="240" w:before="0" w:after="120"/>
        <w:jc w:val="both"/>
        <w:rPr>
          <w:rFonts w:ascii="Trebuchet MS" w:hAnsi="Trebuchet MS" w:eastAsia="Trebuchet MS" w:cs="Trebuchet MS"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color w:val="343433"/>
          <w:sz w:val="24"/>
          <w:szCs w:val="24"/>
        </w:rPr>
        <w:t>Сейчас на сооружении станции замещения выполняются работы на 156 объектах. Численность строительно-монтажного персонала в августе 2023 года составила более 8,5 тыс. человек.</w:t>
      </w:r>
    </w:p>
    <w:p>
      <w:pPr>
        <w:pStyle w:val="Normal1"/>
        <w:shd w:val="clear" w:fill="FFFFFF"/>
        <w:spacing w:lineRule="auto" w:line="240" w:before="0" w:after="120"/>
        <w:jc w:val="both"/>
        <w:rPr>
          <w:rFonts w:ascii="Trebuchet MS" w:hAnsi="Trebuchet MS" w:eastAsia="Trebuchet MS" w:cs="Trebuchet MS"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color w:val="343433"/>
          <w:sz w:val="24"/>
          <w:szCs w:val="24"/>
        </w:rPr>
        <w:t>Завершение возведения башенной испарительной градирни — одно из важных событий 2023 года на втором строящемся энергоблоке Курской АЭС-2. Теперь перед строителями стоит задача монтажа сборного железобетона внутри градирни для монтажа блоков оросителей, а также водоподъемных магистралей и подводящих трубопроводов.</w:t>
      </w:r>
    </w:p>
    <w:p>
      <w:pPr>
        <w:pStyle w:val="Normal1"/>
        <w:shd w:val="clear" w:fill="FFFFFF"/>
        <w:spacing w:lineRule="auto" w:line="240" w:before="0" w:after="120"/>
        <w:jc w:val="both"/>
        <w:rPr>
          <w:rFonts w:ascii="Trebuchet MS" w:hAnsi="Trebuchet MS" w:eastAsia="Trebuchet MS" w:cs="Trebuchet MS"/>
          <w:b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color w:val="343433"/>
          <w:sz w:val="24"/>
          <w:szCs w:val="24"/>
        </w:rPr>
        <w:t xml:space="preserve">«Для бетонирования вытяжной башни использовался специальный гидрофобный бетон — он отталкивает воду и соответствует требуемым стандартам водонепроницаемости. За время сооружения объекта было использовано около 14 тыс. </w:t>
      </w:r>
      <w:r>
        <w:rPr>
          <w:color w:val="343433"/>
          <w:sz w:val="21"/>
          <w:szCs w:val="21"/>
          <w:highlight w:val="white"/>
        </w:rPr>
        <w:t>м³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 xml:space="preserve"> бетонной смеси», — отметил </w:t>
      </w:r>
      <w:r>
        <w:rPr>
          <w:rFonts w:eastAsia="Trebuchet MS" w:cs="Trebuchet MS" w:ascii="Trebuchet MS" w:hAnsi="Trebuchet MS"/>
          <w:b/>
          <w:color w:val="343433"/>
          <w:sz w:val="24"/>
          <w:szCs w:val="24"/>
        </w:rPr>
        <w:t>первый заместитель директора по сооружению новых блоков Курской АЭС Андрей Ошарин.</w:t>
      </w:r>
    </w:p>
    <w:p>
      <w:pPr>
        <w:pStyle w:val="Normal1"/>
        <w:shd w:val="clear" w:fill="FFFFFF"/>
        <w:spacing w:lineRule="auto" w:line="240" w:before="0" w:after="120"/>
        <w:jc w:val="both"/>
        <w:rPr>
          <w:rFonts w:ascii="Trebuchet MS" w:hAnsi="Trebuchet MS" w:eastAsia="Trebuchet MS" w:cs="Trebuchet MS"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color w:val="343433"/>
          <w:sz w:val="24"/>
          <w:szCs w:val="24"/>
        </w:rPr>
        <w:t xml:space="preserve">Гигантское сооружение имеет оптимальную по условиям аэродинамики, прочности и устойчивости форму. Конструкция в 179 м обеспечит стабильную работу энергоблока, не снижая энерговыработку даже в жаркий летний период. Испарительная градирня станции замещения способна охлаждать до 160 тыс. </w:t>
      </w:r>
      <w:r>
        <w:rPr>
          <w:color w:val="343433"/>
          <w:sz w:val="21"/>
          <w:szCs w:val="21"/>
          <w:highlight w:val="white"/>
        </w:rPr>
        <w:t>м³</w:t>
      </w:r>
      <w:r>
        <w:rPr>
          <w:rFonts w:eastAsia="Trebuchet MS" w:cs="Trebuchet MS" w:ascii="Trebuchet MS" w:hAnsi="Trebuchet MS"/>
          <w:color w:val="343433"/>
          <w:sz w:val="24"/>
          <w:szCs w:val="24"/>
        </w:rPr>
        <w:t xml:space="preserve"> воды в час.</w:t>
      </w:r>
    </w:p>
    <w:p>
      <w:pPr>
        <w:pStyle w:val="Normal1"/>
        <w:shd w:val="clear" w:fill="FFFFFF"/>
        <w:spacing w:lineRule="auto" w:line="240" w:before="0" w:after="120"/>
        <w:jc w:val="both"/>
        <w:rPr>
          <w:rFonts w:ascii="Trebuchet MS" w:hAnsi="Trebuchet MS" w:eastAsia="Trebuchet MS" w:cs="Trebuchet MS"/>
          <w:b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color w:val="343433"/>
          <w:sz w:val="24"/>
          <w:szCs w:val="24"/>
        </w:rPr>
        <w:t>«Строительство градирни второго энергоблока начались в августе 2021 года. Завершились за 747 дней — это быстрее по сравнению с аналогичными работами на градирне первого энергоблока строящейся Курской АЭС-2», — рассказал</w:t>
      </w:r>
      <w:r>
        <w:rPr>
          <w:rFonts w:eastAsia="Trebuchet MS" w:cs="Trebuchet MS" w:ascii="Trebuchet MS" w:hAnsi="Trebuchet MS"/>
          <w:b/>
          <w:color w:val="343433"/>
          <w:sz w:val="24"/>
          <w:szCs w:val="24"/>
        </w:rPr>
        <w:t xml:space="preserve"> вице-президент — директор проекта по сооружению Курской АЭС АО АСЭ Олег Шперле.</w:t>
      </w:r>
    </w:p>
    <w:p>
      <w:pPr>
        <w:pStyle w:val="Normal1"/>
        <w:shd w:val="clear" w:fill="FFFFFF"/>
        <w:spacing w:lineRule="auto" w:line="240" w:before="0" w:after="120"/>
        <w:jc w:val="both"/>
        <w:rPr>
          <w:rFonts w:ascii="Trebuchet MS" w:hAnsi="Trebuchet MS" w:eastAsia="Trebuchet MS" w:cs="Trebuchet MS"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color w:val="343433"/>
          <w:sz w:val="24"/>
          <w:szCs w:val="24"/>
        </w:rPr>
        <w:t>Проект Курской АЭС-2 предусматривает сооружение двух башенных испарительных градирен — по одной на каждый энергоблок. Вытяжные башни работают в составе системы охлаждения АЭС. Вода циркулирует по замкнутому контуру, охлаждая и конденсируя отработавший в турбине пар. Вытяжные башни выполняют ту же функцию, что и водоемы, — рассеивают в атмосферу избыточное тепло, выделяющееся при охлаждении воды. Проектный срок службы строительных конструкций градирни — до 100 лет.</w:t>
      </w:r>
    </w:p>
    <w:p>
      <w:pPr>
        <w:pStyle w:val="Normal1"/>
        <w:shd w:val="clear" w:fill="FFFFFF"/>
        <w:jc w:val="both"/>
        <w:rPr>
          <w:rFonts w:ascii="Trebuchet MS" w:hAnsi="Trebuchet MS" w:eastAsia="Trebuchet MS" w:cs="Trebuchet MS"/>
          <w:i/>
          <w:i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i/>
          <w:color w:val="343433"/>
          <w:sz w:val="24"/>
          <w:szCs w:val="24"/>
        </w:rPr>
        <w:t>Развитие атомной энергетики — залог повышения уровня жизни граждан России. Российская промышленность наращивает выпуск необходимой техники и оборудования, укрепляя технологический суверенитет страны. Президент РФ считает реализацию программ поддержки промышленности вопросом нацбезопасности и ставит задачу выйти на устойчивый промышленный рост в РФ, действуя динамично и напористо.</w:t>
      </w:r>
    </w:p>
    <w:p>
      <w:pPr>
        <w:pStyle w:val="Normal1"/>
        <w:shd w:val="clear" w:fill="FFFFFF"/>
        <w:jc w:val="both"/>
        <w:rPr>
          <w:rFonts w:ascii="Trebuchet MS" w:hAnsi="Trebuchet MS" w:eastAsia="Trebuchet MS" w:cs="Trebuchet MS"/>
          <w:i/>
          <w:i/>
          <w:color w:val="343433"/>
          <w:sz w:val="24"/>
          <w:szCs w:val="24"/>
        </w:rPr>
      </w:pPr>
      <w:r>
        <w:rPr>
          <w:rFonts w:eastAsia="Trebuchet MS" w:cs="Trebuchet MS" w:ascii="Trebuchet MS" w:hAnsi="Trebuchet MS"/>
          <w:i/>
          <w:color w:val="343433"/>
          <w:sz w:val="24"/>
          <w:szCs w:val="24"/>
        </w:rPr>
        <w:t xml:space="preserve"> </w:t>
      </w:r>
    </w:p>
    <w:p>
      <w:pPr>
        <w:pStyle w:val="Normal1"/>
        <w:shd w:val="clear" w:fill="FFFFFF"/>
        <w:jc w:val="both"/>
        <w:rPr>
          <w:rFonts w:ascii="Trebuchet MS" w:hAnsi="Trebuchet MS" w:eastAsia="Trebuchet MS" w:cs="Trebuchet MS"/>
          <w:i/>
          <w:i/>
          <w:color w:val="343433"/>
          <w:sz w:val="24"/>
          <w:szCs w:val="24"/>
        </w:rPr>
      </w:pPr>
      <w:r>
        <w:rPr>
          <w:rFonts w:eastAsia="Arial" w:cs="Arial"/>
          <w:i/>
          <w:color w:val="343433"/>
          <w:sz w:val="24"/>
          <w:szCs w:val="24"/>
        </w:rPr>
        <w:t>Энергоблоки №№1 и 2 КуАЭС-2 поколения III+ являются пилотными, сооружаемыми по проекту ВВЭР-ТОИ (водо-водяной энергетический реактор типовой оптимизированный информатизированный). Это новый проект, созданный российскими проектировщиками (АО «Атомэнергопроект») на базе технических решений проекта АЭС с ВВЭР-1200. Они обладают улучшенными технико-экономическими показателями. По сравнению с другими энергоблоками поколения III+ проект ВВЭР-ТОИ предполагает существенное снижение стоимости сооружения, сроков и эксплуатационных расходов. Мощность каждого энергоблока выросла на 25 %, до 1255 МВт по сравнению с энергоблоками действующей Курской АЭС.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Trebuchet M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501</Words>
  <Characters>3562</Characters>
  <CharactersWithSpaces>4062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