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1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/>
        <w:drawing>
          <wp:inline distT="0" distB="0" distL="0" distR="0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tLeast" w:line="1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Инжиниринговый дивизион Госкорпорации «Росатом»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  <w:t>21.06.2023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iCs/>
          <w:sz w:val="28"/>
          <w:szCs w:val="28"/>
          <w:lang w:val="ru-RU"/>
        </w:rPr>
      </w:r>
    </w:p>
    <w:p>
      <w:pPr>
        <w:pStyle w:val="P1"/>
        <w:spacing w:beforeAutospacing="0" w:before="0" w:afterAutospacing="0" w:after="0"/>
        <w:jc w:val="both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На энергоблоке №7 АЭС «Тяньвань» </w:t>
      </w:r>
      <w:r>
        <w:rPr>
          <w:rFonts w:eastAsia="Times New Roman"/>
          <w:b/>
          <w:color w:val="333333"/>
          <w:sz w:val="28"/>
          <w:szCs w:val="28"/>
          <w:shd w:fill="FFFFFF" w:val="clear"/>
        </w:rPr>
        <w:t xml:space="preserve">завершена установка </w:t>
      </w:r>
      <w:r>
        <w:rPr>
          <w:b/>
          <w:color w:val="1A1A1A"/>
          <w:sz w:val="28"/>
          <w:szCs w:val="28"/>
        </w:rPr>
        <w:t>верхней части купола ВЗО здания реактора</w:t>
      </w:r>
    </w:p>
    <w:p>
      <w:pPr>
        <w:pStyle w:val="P1"/>
        <w:spacing w:beforeAutospacing="0" w:before="0" w:afterAutospacing="0" w:after="0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280"/>
        <w:jc w:val="both"/>
        <w:rPr>
          <w:rFonts w:eastAsia="Calibri" w:eastAsiaTheme="minorHAnsi"/>
          <w:color w:val="1A1A1A"/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/>
        </w:rPr>
        <w:t>В реакторном здании энергоблока № 7 АЭС «Тяньвань», сооружаемого в Китае при участии Инжинирингового дивизиона Росатома, в проектное положение установлена верхняя часть купола внутренней защитной оболочки (ВЗО) массой 214 тонн и диаметром 36 метров.</w:t>
      </w:r>
    </w:p>
    <w:p>
      <w:pPr>
        <w:pStyle w:val="P1"/>
        <w:spacing w:beforeAutospacing="0" w:before="0" w:afterAutospacing="0" w:after="0"/>
        <w:jc w:val="both"/>
        <w:rPr>
          <w:sz w:val="28"/>
          <w:szCs w:val="28"/>
          <w:lang w:eastAsia="en-US"/>
        </w:rPr>
      </w:pPr>
      <w:r>
        <w:rPr>
          <w:rStyle w:val="S1"/>
          <w:sz w:val="28"/>
          <w:szCs w:val="28"/>
        </w:rPr>
        <w:t xml:space="preserve">«Сооружение седьмого блока на АЭС «Тяньвань» осуществляется точно в срок. Следующим этапом станет монтаж ключевого оборудования внутри здания реактора – корпуса реактора, парогенераторов, гидроемкостей системы аварийного охлаждения активной зоны, компенсатора давления, главных циркуляционных насосов», – отметил </w:t>
      </w:r>
      <w:r>
        <w:rPr>
          <w:sz w:val="28"/>
          <w:szCs w:val="28"/>
          <w:lang w:eastAsia="en-US"/>
        </w:rPr>
        <w:t>вице-президент по проектам в Китае и перспективным проектам АО «Атомстройэкспорт» Алексей Банник.</w:t>
      </w:r>
    </w:p>
    <w:p>
      <w:pPr>
        <w:pStyle w:val="P1"/>
        <w:spacing w:beforeAutospacing="0" w:before="0" w:afterAutospacing="0" w:after="0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280"/>
        <w:jc w:val="both"/>
        <w:rPr>
          <w:color w:val="1A1A1A"/>
          <w:sz w:val="28"/>
          <w:szCs w:val="28"/>
          <w:lang w:val="ru-RU"/>
        </w:rPr>
      </w:pPr>
      <w:r>
        <w:rPr>
          <w:color w:val="1A1A1A"/>
          <w:sz w:val="28"/>
          <w:szCs w:val="28"/>
          <w:lang w:val="ru-RU"/>
        </w:rPr>
        <w:t xml:space="preserve">Монтажные работы по установке купола ВЗО проводились в два этапа. Ранее, 19 мая, </w:t>
      </w:r>
      <w:r>
        <w:rPr>
          <w:rStyle w:val="S1"/>
          <w:sz w:val="28"/>
          <w:szCs w:val="28"/>
          <w:lang w:val="ru-RU"/>
        </w:rPr>
        <w:t>на цилиндрическую часть гермооболочки здания реактора</w:t>
      </w:r>
      <w:r>
        <w:rPr>
          <w:color w:val="1A1A1A"/>
          <w:sz w:val="28"/>
          <w:szCs w:val="28"/>
          <w:lang w:val="ru-RU"/>
        </w:rPr>
        <w:t xml:space="preserve"> была установлена нижняя часть купола </w:t>
      </w:r>
      <w:r>
        <w:rPr>
          <w:rStyle w:val="S1"/>
          <w:sz w:val="28"/>
          <w:szCs w:val="28"/>
          <w:lang w:val="ru-RU"/>
        </w:rPr>
        <w:t>диаметром 44 метра и массой 391 тонна. Для этого на стройплощадку доставили кран максимальной грузоподьемностью 2000 тонн.</w:t>
      </w:r>
    </w:p>
    <w:p>
      <w:pPr>
        <w:pStyle w:val="P1"/>
        <w:spacing w:beforeAutospacing="0" w:before="0" w:afterAutospacing="0" w:after="0"/>
        <w:jc w:val="both"/>
        <w:rPr>
          <w:rStyle w:val="S2"/>
          <w:sz w:val="28"/>
          <w:szCs w:val="28"/>
        </w:rPr>
      </w:pPr>
      <w:r>
        <w:rPr>
          <w:rStyle w:val="S1"/>
          <w:sz w:val="28"/>
          <w:szCs w:val="28"/>
        </w:rPr>
        <w:t xml:space="preserve">Здание реактора является основным зданием АЭС, где размещается ядерная паропроизводящая установка и системы ее аварийного расхолаживания. Применение в проекте двойной защитной оболочки обеспечивает максимальное исключение влияния аварийных выбросов радиоактивных продуктов в окружающую среду. </w:t>
      </w:r>
      <w:r>
        <w:rPr>
          <w:rStyle w:val="S2"/>
          <w:sz w:val="28"/>
          <w:szCs w:val="28"/>
        </w:rPr>
        <w:t>Эта железобетонная конструкция, защищающая реакторную установку от внешних воздействий и способная выдержать землетрясение, цунами или ураган.</w:t>
      </w:r>
    </w:p>
    <w:p>
      <w:pPr>
        <w:pStyle w:val="P1"/>
        <w:spacing w:beforeAutospacing="0" w:before="0" w:afterAutospacing="0" w:after="0"/>
        <w:jc w:val="both"/>
        <w:rPr>
          <w:rStyle w:val="S1"/>
          <w:sz w:val="28"/>
          <w:szCs w:val="28"/>
        </w:rPr>
      </w:pPr>
      <w:r>
        <w:rPr>
          <w:sz w:val="28"/>
          <w:szCs w:val="28"/>
        </w:rPr>
      </w:r>
    </w:p>
    <w:p>
      <w:pPr>
        <w:pStyle w:val="P1"/>
        <w:spacing w:beforeAutospacing="0" w:before="0" w:afterAutospacing="0" w:after="0"/>
        <w:jc w:val="both"/>
        <w:rPr>
          <w:rStyle w:val="S2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</w:r>
    </w:p>
    <w:p>
      <w:pPr>
        <w:pStyle w:val="Normal"/>
        <w:jc w:val="both"/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</w:r>
    </w:p>
    <w:p>
      <w:pPr>
        <w:pStyle w:val="Normal"/>
        <w:jc w:val="both"/>
        <w:rPr>
          <w:rFonts w:ascii="Times New Roman" w:hAnsi="Times New Roman"/>
          <w:b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sz w:val="28"/>
          <w:szCs w:val="28"/>
          <w:lang w:val="ru-RU" w:eastAsia="en-US"/>
        </w:rPr>
        <w:t>Для справки:</w:t>
      </w:r>
    </w:p>
    <w:p>
      <w:pPr>
        <w:pStyle w:val="P1"/>
        <w:spacing w:beforeAutospacing="0" w:before="0" w:afterAutospacing="0" w:after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Двойная защитная оболочка – отличительная особенность российского проекта энергоблоков с реакторами ВВЭР-1200, которая обеспечивает высочайший уровень безопасности. </w:t>
      </w:r>
      <w:r>
        <w:rPr>
          <w:rStyle w:val="S1"/>
          <w:sz w:val="28"/>
          <w:szCs w:val="28"/>
        </w:rPr>
        <w:t xml:space="preserve">Внешняя оболочка служит физической защитой для внутренней оболочки от внешних воздействий.  Внутренняя оболочка сооружается из предварительно напряженного железобетона, и состоит из цилиндрической части и полусферического купола. Внутренняя поверхность оболочки облицована металлом, этим обеспечивается герметичность внутреннего объёма при всех режимах работы АЭС, включая аварийные. </w:t>
      </w:r>
      <w:r>
        <w:rPr>
          <w:rStyle w:val="S2"/>
          <w:sz w:val="28"/>
          <w:szCs w:val="28"/>
        </w:rPr>
        <w:t>Внутренняя защитная оболочка – одна из ключевых локализующих систем безопасности.</w:t>
      </w:r>
    </w:p>
    <w:p>
      <w:pPr>
        <w:pStyle w:val="P1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АЭС «Тяньвань»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 w:eastAsia="en-US"/>
        </w:rPr>
        <w:t xml:space="preserve"> 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</w:t>
      </w:r>
      <w:r>
        <w:rPr>
          <w:rFonts w:ascii="Times New Roman" w:hAnsi="Times New Roman"/>
          <w:sz w:val="28"/>
          <w:szCs w:val="28"/>
          <w:lang w:eastAsia="en-US"/>
        </w:rPr>
        <w:t>CNNC</w:t>
      </w:r>
      <w:r>
        <w:rPr>
          <w:rFonts w:ascii="Times New Roman" w:hAnsi="Times New Roman"/>
          <w:sz w:val="28"/>
          <w:szCs w:val="28"/>
          <w:lang w:val="ru-RU" w:eastAsia="en-US"/>
        </w:rPr>
        <w:t>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№8; генеральный контракт для энергоблоков № 7 и №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№ 8 начались 19 мая 2021 года.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Россия продолжает взаимовыгодное сотрудничество с дружественными странами. Продолжается реализация крупных проектов в сфере энергетики. Работа Росатома по проектам в Китае является примером конструктивного партнерства, открывающего новые перспективы в сфере низкоуглеродной генерации.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 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Порядка 80% выручки дивизиона составляют зарубежные проекты.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Инжиниринговый дивизион реализует проекты по сооружению АЭС большой мощности в России и других странах, оказывает полный спектр услуг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EPC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EPC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), включая управление проектом и проектирование, и развивает 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Multi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-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D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 xml:space="preserve">Мы строим надежные и безопасные АЭС с реакторами типа ВВЭР поколения </w:t>
      </w:r>
      <w:r>
        <w:rPr>
          <w:rFonts w:ascii="Times New Roman" w:hAnsi="Times New Roman"/>
          <w:sz w:val="24"/>
          <w:szCs w:val="24"/>
          <w:lang w:eastAsia="en-US"/>
        </w:rPr>
        <w:t>III</w:t>
      </w:r>
      <w:r>
        <w:rPr>
          <w:rFonts w:ascii="Times New Roman" w:hAnsi="Times New Roman"/>
          <w:sz w:val="24"/>
          <w:szCs w:val="24"/>
          <w:lang w:val="ru-RU" w:eastAsia="en-US"/>
        </w:rPr>
        <w:t>+</w:t>
      </w:r>
      <w:r>
        <w:rPr>
          <w:rFonts w:ascii="Times New Roman" w:hAnsi="Times New Roman"/>
          <w:i/>
          <w:iCs/>
          <w:sz w:val="24"/>
          <w:szCs w:val="24"/>
          <w:lang w:val="ru-RU" w:eastAsia="en-US"/>
        </w:rPr>
        <w:t>, которые отвечают всем международным требованиям и рекомендациям.</w:t>
      </w:r>
    </w:p>
    <w:p>
      <w:pPr>
        <w:pStyle w:val="Normal"/>
        <w:suppressAutoHyphens w:val="false"/>
        <w:spacing w:lineRule="auto" w:line="240" w:before="0" w:after="0"/>
        <w:jc w:val="both"/>
        <w:rPr>
          <w:rStyle w:val="-"/>
          <w:rFonts w:ascii="Times New Roman" w:hAnsi="Times New Roman"/>
          <w:i/>
          <w:i/>
          <w:iCs/>
          <w:sz w:val="24"/>
          <w:szCs w:val="24"/>
          <w:lang w:val="ru-RU" w:eastAsia="en-US"/>
        </w:rPr>
      </w:pPr>
      <w:hyperlink r:id="rId3">
        <w:r>
          <w:rPr>
            <w:rStyle w:val="-"/>
            <w:rFonts w:ascii="Times New Roman" w:hAnsi="Times New Roman"/>
            <w:i/>
            <w:iCs/>
            <w:sz w:val="24"/>
            <w:szCs w:val="24"/>
            <w:lang w:eastAsia="en-US"/>
          </w:rPr>
          <w:t>www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val="ru-RU" w:eastAsia="en-US"/>
          </w:rPr>
          <w:t>.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eastAsia="en-US"/>
          </w:rPr>
          <w:t>ase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val="ru-RU" w:eastAsia="en-US"/>
          </w:rPr>
          <w:t>-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eastAsia="en-US"/>
          </w:rPr>
          <w:t>ec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val="ru-RU" w:eastAsia="en-US"/>
          </w:rPr>
          <w:t>.</w:t>
        </w:r>
        <w:r>
          <w:rPr>
            <w:rStyle w:val="-"/>
            <w:rFonts w:ascii="Times New Roman" w:hAnsi="Times New Roman"/>
            <w:i/>
            <w:iCs/>
            <w:sz w:val="24"/>
            <w:szCs w:val="24"/>
            <w:lang w:eastAsia="en-US"/>
          </w:rPr>
          <w:t>ru</w:t>
        </w:r>
      </w:hyperlink>
    </w:p>
    <w:p>
      <w:pPr>
        <w:pStyle w:val="Normal"/>
        <w:spacing w:before="0" w:after="2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276" w:right="566" w:gutter="0" w:header="0" w:top="426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SimSu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-">
    <w:name w:val="Hyperlink"/>
    <w:uiPriority w:val="99"/>
    <w:rPr>
      <w:color w:val="0000FF"/>
      <w:u w:val="single"/>
    </w:rPr>
  </w:style>
  <w:style w:type="character" w:styleId="Style14" w:customStyle="1">
    <w:name w:val="Текст Знак"/>
    <w:qFormat/>
    <w:rPr>
      <w:rFonts w:ascii="Tahoma" w:hAnsi="Tahoma" w:cs="Tahoma"/>
      <w:lang w:val="en-US" w:eastAsia="ar-SA" w:bidi="ar-SA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15" w:customStyle="1">
    <w:name w:val="Текст примечания Знак"/>
    <w:qFormat/>
    <w:rPr>
      <w:rFonts w:ascii="Calibri" w:hAnsi="Calibri" w:eastAsia="Calibri" w:cs="Calibri"/>
    </w:rPr>
  </w:style>
  <w:style w:type="character" w:styleId="Style16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7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Style18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2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character" w:styleId="S1" w:customStyle="1">
    <w:name w:val="s1"/>
    <w:basedOn w:val="DefaultParagraphFont"/>
    <w:qFormat/>
    <w:rsid w:val="00725d84"/>
    <w:rPr/>
  </w:style>
  <w:style w:type="character" w:styleId="S2" w:customStyle="1">
    <w:name w:val="s2"/>
    <w:basedOn w:val="DefaultParagraphFont"/>
    <w:qFormat/>
    <w:rsid w:val="00725d84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6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7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en-US" w:bidi="ar-SA"/>
    </w:rPr>
  </w:style>
  <w:style w:type="paragraph" w:styleId="18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ar-SA" w:val="en-US" w:bidi="ar-SA"/>
    </w:rPr>
  </w:style>
  <w:style w:type="paragraph" w:styleId="19" w:customStyle="1">
    <w:name w:val="Текст примечания1"/>
    <w:basedOn w:val="Normal"/>
    <w:qFormat/>
    <w:pPr/>
    <w:rPr>
      <w:sz w:val="20"/>
      <w:szCs w:val="20"/>
    </w:rPr>
  </w:style>
  <w:style w:type="paragraph" w:styleId="110" w:customStyle="1">
    <w:name w:val="Тема примечания1"/>
    <w:basedOn w:val="19"/>
    <w:qFormat/>
    <w:pPr/>
    <w:rPr>
      <w:b/>
      <w:bCs/>
    </w:rPr>
  </w:style>
  <w:style w:type="paragraph" w:styleId="111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112" w:customStyle="1">
    <w:name w:val="Рецензия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en-US" w:bidi="ar-SA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2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f668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1" w:customStyle="1">
    <w:name w:val="p1"/>
    <w:basedOn w:val="Normal"/>
    <w:qFormat/>
    <w:rsid w:val="00725d84"/>
    <w:pPr>
      <w:suppressAutoHyphens w:val="false"/>
      <w:spacing w:lineRule="auto" w:line="240" w:beforeAutospacing="1" w:afterAutospacing="1"/>
    </w:pPr>
    <w:rPr>
      <w:rFonts w:ascii="Times New Roman" w:hAnsi="Times New Roman" w:eastAsia="Calibri" w:eastAsiaTheme="minorHAnsi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725d8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se-ec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3B70-675B-4399-BD5F-54B758B5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DocSecurity>0</DocSecurity>
  <Pages>3</Pages>
  <Words>589</Words>
  <Characters>4264</Characters>
  <CharactersWithSpaces>4846</CharactersWithSpaces>
  <Paragraphs>18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2023-12-12T09:53:00Z</dcterms:created>
  <dc:creator>Герасимова</dc:creator>
  <dc:description/>
  <dc:language>ru-RU</dc:language>
  <cp:lastModifiedBy/>
  <cp:lastPrinted>2018-09-11T09:43:00Z</cp:lastPrinted>
  <dcterms:modified xsi:type="dcterms:W3CDTF">2023-12-22T10:35:37Z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d78d5a673c246fd3903bbca82b39b08e466e43d1949dc264453a399f197750e7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