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100"/>
        <w:jc w:val="center"/>
        <w:rPr>
          <w:rFonts w:ascii="Times New Roman" w:hAnsi="Times New Roman"/>
          <w:b/>
          <w:color w:val="000000"/>
          <w:sz w:val="24"/>
          <w:szCs w:val="24"/>
        </w:rPr>
      </w:pPr>
      <w:r>
        <w:rPr/>
        <w:drawing>
          <wp:inline distT="0" distB="0" distL="0" distR="0">
            <wp:extent cx="2238375" cy="2238375"/>
            <wp:effectExtent l="0" t="0" r="0" b="0"/>
            <wp:docPr id="1" name="Рисунок 1" descr="C:\!!!!!!СПРАВКИ О ПРОЕКТАХ_2020\Шапки релизов с новым лого\АО%20ИК%20АСЭ%20(с)_вертикальный_ру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СПРАВКИ О ПРОЕКТАХ_2020\Шапки релизов с новым лого\АО%20ИК%20АСЭ%20(с)_вертикальный_рус.png"/>
                    <pic:cNvPicPr>
                      <a:picLocks noChangeAspect="1" noChangeArrowheads="1"/>
                    </pic:cNvPicPr>
                  </pic:nvPicPr>
                  <pic:blipFill>
                    <a:blip r:embed="rId2"/>
                    <a:stretch>
                      <a:fillRect/>
                    </a:stretch>
                  </pic:blipFill>
                  <pic:spPr bwMode="auto">
                    <a:xfrm>
                      <a:off x="0" y="0"/>
                      <a:ext cx="2238375" cy="2238375"/>
                    </a:xfrm>
                    <a:prstGeom prst="rect">
                      <a:avLst/>
                    </a:prstGeom>
                  </pic:spPr>
                </pic:pic>
              </a:graphicData>
            </a:graphic>
          </wp:inline>
        </w:drawing>
      </w:r>
      <w:r>
        <w:rPr>
          <w:rFonts w:ascii="Times New Roman" w:hAnsi="Times New Roman"/>
          <w:b/>
          <w:color w:val="000000"/>
          <w:sz w:val="24"/>
          <w:szCs w:val="24"/>
        </w:rPr>
        <w:t xml:space="preserve"> </w:t>
      </w:r>
    </w:p>
    <w:p>
      <w:pPr>
        <w:pStyle w:val="Normal"/>
        <w:spacing w:lineRule="auto" w:line="240" w:before="0" w:after="0"/>
        <w:jc w:val="center"/>
        <w:rPr>
          <w:rFonts w:ascii="Times New Roman" w:hAnsi="Times New Roman"/>
          <w:b/>
          <w:iCs/>
          <w:sz w:val="28"/>
          <w:szCs w:val="28"/>
        </w:rPr>
      </w:pPr>
      <w:r>
        <w:rPr>
          <w:rFonts w:ascii="Times New Roman" w:hAnsi="Times New Roman"/>
          <w:b/>
          <w:color w:val="000000"/>
          <w:sz w:val="24"/>
        </w:rPr>
        <w:t>Rosatom State Corporation Engineering Division</w:t>
      </w:r>
    </w:p>
    <w:p>
      <w:pPr>
        <w:pStyle w:val="Normal"/>
        <w:spacing w:lineRule="auto" w:line="240" w:before="0" w:after="0"/>
        <w:jc w:val="both"/>
        <w:rPr>
          <w:rFonts w:ascii="Times New Roman" w:hAnsi="Times New Roman"/>
          <w:b/>
          <w:iCs/>
          <w:sz w:val="28"/>
          <w:szCs w:val="28"/>
        </w:rPr>
      </w:pPr>
      <w:r>
        <w:rPr>
          <w:rFonts w:ascii="Times New Roman" w:hAnsi="Times New Roman"/>
          <w:b/>
          <w:iCs/>
          <w:sz w:val="28"/>
          <w:szCs w:val="28"/>
        </w:rPr>
        <w:t>June 21, 2023</w:t>
      </w:r>
    </w:p>
    <w:p>
      <w:pPr>
        <w:pStyle w:val="Normal"/>
        <w:spacing w:lineRule="auto" w:line="240" w:before="0" w:after="0"/>
        <w:jc w:val="both"/>
        <w:rPr>
          <w:rFonts w:ascii="Times New Roman" w:hAnsi="Times New Roman"/>
          <w:b/>
          <w:iCs/>
          <w:sz w:val="28"/>
          <w:szCs w:val="28"/>
        </w:rPr>
      </w:pPr>
      <w:r>
        <w:rPr>
          <w:rFonts w:ascii="Times New Roman" w:hAnsi="Times New Roman"/>
          <w:b/>
          <w:iCs/>
          <w:sz w:val="28"/>
          <w:szCs w:val="28"/>
        </w:rPr>
      </w:r>
    </w:p>
    <w:p>
      <w:pPr>
        <w:pStyle w:val="P1"/>
        <w:spacing w:beforeAutospacing="0" w:before="0" w:afterAutospacing="0" w:after="0"/>
        <w:jc w:val="both"/>
        <w:rPr>
          <w:rStyle w:val="S1"/>
          <w:b/>
          <w:sz w:val="28"/>
          <w:szCs w:val="28"/>
          <w:lang w:val="en-US"/>
        </w:rPr>
      </w:pPr>
      <w:r>
        <w:rPr>
          <w:rStyle w:val="S1"/>
          <w:b/>
          <w:sz w:val="28"/>
          <w:szCs w:val="28"/>
          <w:lang w:val="en-US"/>
        </w:rPr>
        <w:t xml:space="preserve">At Power Unit No. 7 of Tianwan NPS, the Inner Containment Dome’s Upper Part Has Been Installed in the Reactor Building </w:t>
      </w:r>
    </w:p>
    <w:p>
      <w:pPr>
        <w:pStyle w:val="P1"/>
        <w:spacing w:beforeAutospacing="0" w:before="0" w:afterAutospacing="0" w:after="0"/>
        <w:jc w:val="both"/>
        <w:rPr>
          <w:rStyle w:val="S1"/>
          <w:sz w:val="28"/>
          <w:szCs w:val="28"/>
          <w:lang w:val="en-US"/>
        </w:rPr>
      </w:pPr>
      <w:r>
        <w:rPr>
          <w:sz w:val="28"/>
          <w:szCs w:val="28"/>
          <w:lang w:val="en-US"/>
        </w:rPr>
      </w:r>
    </w:p>
    <w:p>
      <w:pPr>
        <w:pStyle w:val="NormalWeb"/>
        <w:spacing w:beforeAutospacing="0" w:before="0" w:after="280"/>
        <w:jc w:val="both"/>
        <w:rPr>
          <w:rFonts w:eastAsia="Calibri" w:eastAsiaTheme="minorHAnsi"/>
          <w:color w:val="1A1A1A"/>
          <w:sz w:val="28"/>
          <w:szCs w:val="28"/>
        </w:rPr>
      </w:pPr>
      <w:r>
        <w:rPr>
          <w:color w:val="1A1A1A"/>
          <w:sz w:val="28"/>
          <w:szCs w:val="28"/>
        </w:rPr>
        <w:t>In the reactor building of Tianwan NPS power unit No. 7, which is being built in China with involvement of the Rosatom Engineering Division, the upper part of the inner containment dome weighing 214 tons and being 36 meters in diameter has been installed in the design position.</w:t>
      </w:r>
    </w:p>
    <w:p>
      <w:pPr>
        <w:pStyle w:val="P1"/>
        <w:spacing w:beforeAutospacing="0" w:before="0" w:afterAutospacing="0" w:after="0"/>
        <w:jc w:val="both"/>
        <w:rPr>
          <w:sz w:val="28"/>
          <w:szCs w:val="28"/>
          <w:lang w:val="en-US" w:eastAsia="en-US"/>
        </w:rPr>
      </w:pPr>
      <w:r>
        <w:rPr>
          <w:rStyle w:val="S1"/>
          <w:sz w:val="28"/>
          <w:szCs w:val="28"/>
          <w:lang w:val="en-US"/>
        </w:rPr>
        <w:t>“</w:t>
      </w:r>
      <w:r>
        <w:rPr>
          <w:rStyle w:val="S1"/>
          <w:sz w:val="28"/>
          <w:szCs w:val="28"/>
          <w:lang w:val="en-US"/>
        </w:rPr>
        <w:t>The construction of Tianwan NPS Unit 7 is proceeding right on time. The next step will be to install the key equipment inside the reactor building, i.e. the reactor pressure vessel, steam generators, hydraulic tanks of the emergency core cooling system, pressurizer, main circulation pumps," said Alexey Bannik, Atomstroyexport JSC Vice President for Projects in China and Prospective Projects</w:t>
      </w:r>
      <w:r>
        <w:rPr>
          <w:sz w:val="28"/>
          <w:szCs w:val="28"/>
          <w:lang w:val="en-US" w:eastAsia="en-US"/>
        </w:rPr>
        <w:t>.</w:t>
      </w:r>
    </w:p>
    <w:p>
      <w:pPr>
        <w:pStyle w:val="P1"/>
        <w:spacing w:beforeAutospacing="0" w:before="0" w:afterAutospacing="0" w:after="0"/>
        <w:jc w:val="both"/>
        <w:rPr>
          <w:rStyle w:val="S1"/>
          <w:sz w:val="28"/>
          <w:szCs w:val="28"/>
          <w:lang w:val="en-US"/>
        </w:rPr>
      </w:pPr>
      <w:r>
        <w:rPr>
          <w:sz w:val="28"/>
          <w:szCs w:val="28"/>
          <w:lang w:val="en-US"/>
        </w:rPr>
      </w:r>
    </w:p>
    <w:p>
      <w:pPr>
        <w:pStyle w:val="NormalWeb"/>
        <w:spacing w:beforeAutospacing="0" w:before="0" w:after="280"/>
        <w:jc w:val="both"/>
        <w:rPr>
          <w:color w:val="1A1A1A"/>
          <w:sz w:val="28"/>
          <w:szCs w:val="28"/>
        </w:rPr>
      </w:pPr>
      <w:r>
        <w:rPr>
          <w:color w:val="1A1A1A"/>
          <w:sz w:val="28"/>
          <w:szCs w:val="28"/>
        </w:rPr>
        <w:t>The works to install the inner containment dome were carried out in two stages. Earlier, on May 19, the lower part of the dome being 44 meters in diameter and weighing 391 tons, was installed on the containment’s cylindrical part in the reactor building. For this end, a crane with a maximum 2000t lifting capacity had been delivered to the construction site</w:t>
      </w:r>
      <w:r>
        <w:rPr>
          <w:rStyle w:val="S1"/>
          <w:sz w:val="28"/>
          <w:szCs w:val="28"/>
        </w:rPr>
        <w:t>.</w:t>
      </w:r>
    </w:p>
    <w:p>
      <w:pPr>
        <w:pStyle w:val="P1"/>
        <w:spacing w:beforeAutospacing="0" w:before="0" w:afterAutospacing="0" w:after="0"/>
        <w:jc w:val="both"/>
        <w:rPr>
          <w:rStyle w:val="S2"/>
          <w:sz w:val="28"/>
          <w:szCs w:val="28"/>
          <w:lang w:val="en-US"/>
        </w:rPr>
      </w:pPr>
      <w:r>
        <w:rPr>
          <w:rStyle w:val="S1"/>
          <w:sz w:val="28"/>
          <w:szCs w:val="28"/>
          <w:lang w:val="en-US"/>
        </w:rPr>
        <w:t>The reactor building is the main NPP building of the nuclear power plant, to house the nuclear steam supply system and its emergency cooling systems. Using a double containment in the design ensures that the impact of radioactive products’ accidental releases into the environment is reduced as much as possible. This is provided through the use of a reinforced concrete structure to protect the reactor plant from external impacts and withstand an earthquake, tsunami or hurricane.</w:t>
      </w:r>
    </w:p>
    <w:p>
      <w:pPr>
        <w:pStyle w:val="P1"/>
        <w:spacing w:beforeAutospacing="0" w:before="0" w:afterAutospacing="0" w:after="0"/>
        <w:jc w:val="both"/>
        <w:rPr>
          <w:rStyle w:val="S1"/>
          <w:sz w:val="28"/>
          <w:szCs w:val="28"/>
          <w:highlight w:val="green"/>
          <w:lang w:val="en-US"/>
        </w:rPr>
      </w:pPr>
      <w:r>
        <w:rPr>
          <w:sz w:val="28"/>
          <w:szCs w:val="28"/>
          <w:highlight w:val="green"/>
          <w:lang w:val="en-US"/>
        </w:rPr>
      </w:r>
    </w:p>
    <w:p>
      <w:pPr>
        <w:pStyle w:val="P1"/>
        <w:spacing w:beforeAutospacing="0" w:before="0" w:afterAutospacing="0" w:after="0"/>
        <w:jc w:val="both"/>
        <w:rPr>
          <w:rStyle w:val="S2"/>
          <w:sz w:val="28"/>
          <w:szCs w:val="28"/>
          <w:lang w:val="en-US"/>
        </w:rPr>
      </w:pPr>
      <w:r>
        <w:rPr>
          <w:sz w:val="28"/>
          <w:szCs w:val="28"/>
          <w:lang w:val="en-US"/>
        </w:rPr>
      </w:r>
    </w:p>
    <w:p>
      <w:pPr>
        <w:pStyle w:val="Normal"/>
        <w:jc w:val="both"/>
        <w:rPr>
          <w:rFonts w:ascii="Times New Roman" w:hAnsi="Times New Roman"/>
          <w:b/>
          <w:sz w:val="28"/>
          <w:szCs w:val="28"/>
          <w:lang w:eastAsia="en-US"/>
        </w:rPr>
      </w:pPr>
      <w:r>
        <w:rPr>
          <w:rFonts w:ascii="Times New Roman" w:hAnsi="Times New Roman"/>
          <w:b/>
          <w:sz w:val="28"/>
          <w:szCs w:val="28"/>
          <w:lang w:eastAsia="en-US"/>
        </w:rPr>
      </w:r>
    </w:p>
    <w:p>
      <w:pPr>
        <w:pStyle w:val="Normal"/>
        <w:jc w:val="both"/>
        <w:rPr>
          <w:rFonts w:ascii="Times New Roman" w:hAnsi="Times New Roman"/>
          <w:b/>
          <w:sz w:val="28"/>
          <w:szCs w:val="28"/>
          <w:lang w:eastAsia="en-US"/>
        </w:rPr>
      </w:pPr>
      <w:r>
        <w:rPr>
          <w:rFonts w:ascii="Times New Roman" w:hAnsi="Times New Roman"/>
          <w:b/>
          <w:sz w:val="28"/>
          <w:szCs w:val="28"/>
          <w:lang w:eastAsia="en-US"/>
        </w:rPr>
      </w:r>
    </w:p>
    <w:p>
      <w:pPr>
        <w:pStyle w:val="Normal"/>
        <w:jc w:val="both"/>
        <w:rPr>
          <w:rFonts w:ascii="Times New Roman" w:hAnsi="Times New Roman"/>
          <w:b/>
          <w:sz w:val="28"/>
          <w:szCs w:val="28"/>
          <w:lang w:eastAsia="en-US"/>
        </w:rPr>
      </w:pPr>
      <w:r>
        <w:rPr>
          <w:rFonts w:ascii="Times New Roman" w:hAnsi="Times New Roman"/>
          <w:b/>
          <w:sz w:val="28"/>
          <w:szCs w:val="28"/>
          <w:lang w:eastAsia="en-US"/>
        </w:rPr>
      </w:r>
    </w:p>
    <w:p>
      <w:pPr>
        <w:pStyle w:val="Normal"/>
        <w:jc w:val="both"/>
        <w:rPr>
          <w:rFonts w:ascii="Times New Roman" w:hAnsi="Times New Roman"/>
          <w:b/>
          <w:sz w:val="28"/>
          <w:szCs w:val="28"/>
          <w:lang w:eastAsia="en-US"/>
        </w:rPr>
      </w:pPr>
      <w:r>
        <w:rPr>
          <w:rFonts w:ascii="Times New Roman" w:hAnsi="Times New Roman"/>
          <w:b/>
          <w:sz w:val="28"/>
          <w:szCs w:val="28"/>
          <w:lang w:eastAsia="en-US"/>
        </w:rPr>
      </w:r>
    </w:p>
    <w:p>
      <w:pPr>
        <w:pStyle w:val="Normal"/>
        <w:jc w:val="both"/>
        <w:rPr>
          <w:rFonts w:ascii="Times New Roman" w:hAnsi="Times New Roman"/>
          <w:b/>
          <w:sz w:val="28"/>
          <w:szCs w:val="28"/>
          <w:lang w:eastAsia="en-US"/>
        </w:rPr>
      </w:pPr>
      <w:r>
        <w:rPr>
          <w:rFonts w:ascii="Times New Roman" w:hAnsi="Times New Roman"/>
          <w:b/>
          <w:sz w:val="28"/>
          <w:szCs w:val="28"/>
          <w:lang w:eastAsia="en-US"/>
        </w:rPr>
        <w:t>For reference:</w:t>
      </w:r>
    </w:p>
    <w:p>
      <w:pPr>
        <w:pStyle w:val="P1"/>
        <w:spacing w:beforeAutospacing="0" w:before="0" w:afterAutospacing="0" w:after="0"/>
        <w:jc w:val="both"/>
        <w:rPr>
          <w:rStyle w:val="S2"/>
          <w:sz w:val="28"/>
          <w:szCs w:val="28"/>
          <w:lang w:val="en-US"/>
        </w:rPr>
      </w:pPr>
      <w:r>
        <w:rPr>
          <w:rStyle w:val="S2"/>
          <w:sz w:val="28"/>
          <w:szCs w:val="28"/>
          <w:lang w:val="en-US"/>
        </w:rPr>
        <w:t>The double protective containment is a distinctive feature of the Russian design of power units equipped with VVER-1200 reactors to ensure the highest safety level.</w:t>
      </w:r>
    </w:p>
    <w:p>
      <w:pPr>
        <w:pStyle w:val="P1"/>
        <w:spacing w:beforeAutospacing="0" w:before="0" w:afterAutospacing="0" w:after="0"/>
        <w:jc w:val="both"/>
        <w:rPr>
          <w:rStyle w:val="S1"/>
          <w:sz w:val="28"/>
          <w:szCs w:val="28"/>
          <w:lang w:val="en-US"/>
        </w:rPr>
      </w:pPr>
      <w:r>
        <w:rPr>
          <w:rStyle w:val="S1"/>
          <w:sz w:val="28"/>
          <w:szCs w:val="28"/>
          <w:lang w:val="en-US"/>
        </w:rPr>
        <w:t xml:space="preserve">The external containment provides physical protection of the inner containment against external impacts. </w:t>
      </w:r>
    </w:p>
    <w:p>
      <w:pPr>
        <w:pStyle w:val="P1"/>
        <w:spacing w:beforeAutospacing="0" w:before="0" w:afterAutospacing="0" w:after="0"/>
        <w:jc w:val="both"/>
        <w:rPr>
          <w:rStyle w:val="S1"/>
          <w:sz w:val="28"/>
          <w:szCs w:val="28"/>
          <w:lang w:val="en-US"/>
        </w:rPr>
      </w:pPr>
      <w:r>
        <w:rPr>
          <w:sz w:val="28"/>
          <w:szCs w:val="28"/>
          <w:lang w:val="en-US"/>
        </w:rPr>
      </w:r>
    </w:p>
    <w:p>
      <w:pPr>
        <w:pStyle w:val="P1"/>
        <w:spacing w:beforeAutospacing="0" w:before="0" w:afterAutospacing="0" w:after="0"/>
        <w:jc w:val="both"/>
        <w:rPr>
          <w:rStyle w:val="S2"/>
          <w:sz w:val="28"/>
          <w:szCs w:val="28"/>
          <w:lang w:val="en-US"/>
        </w:rPr>
      </w:pPr>
      <w:r>
        <w:rPr>
          <w:rStyle w:val="S1"/>
          <w:sz w:val="28"/>
          <w:szCs w:val="28"/>
          <w:lang w:val="en-US"/>
        </w:rPr>
        <w:t>The inner containment is constructed from pre-stressed reinforced concrete and consists of a cylindrical part and a hemispherical dome. The containment’s inner surface is lined with metal, to ensure the containment tightness in all modes of NPP operation, including emergency ones. The inner containment is one of the key localizing safety systems</w:t>
      </w:r>
      <w:r>
        <w:rPr>
          <w:rStyle w:val="S2"/>
          <w:sz w:val="28"/>
          <w:szCs w:val="28"/>
          <w:lang w:val="en-US"/>
        </w:rPr>
        <w:t>.</w:t>
      </w:r>
    </w:p>
    <w:p>
      <w:pPr>
        <w:pStyle w:val="Normal"/>
        <w:jc w:val="both"/>
        <w:rPr>
          <w:rFonts w:ascii="Times New Roman" w:hAnsi="Times New Roman"/>
          <w:b/>
          <w:sz w:val="28"/>
          <w:szCs w:val="28"/>
          <w:lang w:eastAsia="en-US"/>
        </w:rPr>
      </w:pPr>
      <w:r>
        <w:rPr>
          <w:rFonts w:ascii="Times New Roman" w:hAnsi="Times New Roman"/>
          <w:b/>
          <w:sz w:val="28"/>
          <w:szCs w:val="28"/>
          <w:lang w:eastAsia="en-US"/>
        </w:rPr>
      </w:r>
    </w:p>
    <w:p>
      <w:pPr>
        <w:pStyle w:val="Normal"/>
        <w:jc w:val="both"/>
        <w:rPr>
          <w:rFonts w:ascii="Times New Roman" w:hAnsi="Times New Roman"/>
          <w:sz w:val="28"/>
          <w:szCs w:val="28"/>
          <w:lang w:eastAsia="en-US"/>
        </w:rPr>
      </w:pPr>
      <w:r>
        <w:rPr>
          <w:rFonts w:ascii="Times New Roman" w:hAnsi="Times New Roman"/>
          <w:sz w:val="28"/>
          <w:szCs w:val="28"/>
          <w:lang w:eastAsia="en-US"/>
        </w:rPr>
        <w:t xml:space="preserve">Tianwan NPS is the largest project of economic cooperation between Russia and China. Currently, two power units equipped with a VVER-1200 reactor plant are being constructed according to the Russian design. The earlier four units of the Russian VVER-1000 design are successfully operating and delivering millions of kWe to the national power grid. On June 8, 2018, an Intergovernmental Minutes of Meeting and a Frame Contract for construction of Power Units Nos. 7&amp;8 with VVER-1200 reactors were signed in Beijing. </w:t>
      </w:r>
      <w:r>
        <w:rPr>
          <w:rFonts w:ascii="Times New Roman" w:hAnsi="Times New Roman"/>
          <w:sz w:val="28"/>
        </w:rPr>
        <w:t>The contract was signed by the Rosatom State Corporation Engineering Division and CNNC companies</w:t>
      </w:r>
      <w:r>
        <w:rPr>
          <w:rFonts w:ascii="Times New Roman" w:hAnsi="Times New Roman"/>
          <w:sz w:val="28"/>
          <w:szCs w:val="28"/>
          <w:lang w:eastAsia="en-US"/>
        </w:rPr>
        <w:t xml:space="preserve"> o</w:t>
      </w:r>
      <w:r>
        <w:rPr>
          <w:rFonts w:ascii="Times New Roman" w:hAnsi="Times New Roman"/>
          <w:sz w:val="28"/>
        </w:rPr>
        <w:t xml:space="preserve">n behalf of the Russian and Chinese sides, respectively. In accordance with these documents, the Russian side has designed the NPP nuclear island and it is going to supply the key nuclear island equipment for both units. The following executive contracts were also signed such as: the technical design contract for Units 7&amp;8 and the general contract for Units 7&amp;8. In accordance with these contracts, the Engineering Division is in charge of design and delivery of the nuclear island equipment and documentation and provision of associated services (such as designer supervision, installation supervision, adjustment supervision). The works on construction of Units 7&amp;8 started on May 19, 2021. </w:t>
      </w:r>
    </w:p>
    <w:p>
      <w:pPr>
        <w:pStyle w:val="Normal"/>
        <w:jc w:val="both"/>
        <w:rPr>
          <w:rFonts w:ascii="Times New Roman" w:hAnsi="Times New Roman"/>
          <w:sz w:val="28"/>
          <w:szCs w:val="28"/>
          <w:lang w:eastAsia="en-US"/>
        </w:rPr>
      </w:pPr>
      <w:r>
        <w:rPr>
          <w:rFonts w:ascii="Times New Roman" w:hAnsi="Times New Roman"/>
          <w:sz w:val="28"/>
        </w:rPr>
        <w:t>Russia is following the path of mutually beneficial cooperation with friendly countries. The implementation of major energy sector projects is underway. Rosatom's involvement in the China projects demonstrates the meaningful partnership that opens up new vistas in the area of low-carbon generation</w:t>
      </w:r>
      <w:r>
        <w:rPr>
          <w:rFonts w:ascii="Times New Roman" w:hAnsi="Times New Roman"/>
          <w:sz w:val="28"/>
          <w:szCs w:val="28"/>
          <w:lang w:eastAsia="en-US"/>
        </w:rPr>
        <w:t>.</w:t>
      </w:r>
    </w:p>
    <w:p>
      <w:pPr>
        <w:pStyle w:val="Normal"/>
        <w:suppressAutoHyphens w:val="false"/>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i/>
          <w:i/>
          <w:iCs/>
          <w:sz w:val="24"/>
          <w:szCs w:val="24"/>
        </w:rPr>
      </w:pPr>
      <w:r>
        <w:rPr>
          <w:rFonts w:ascii="Times New Roman" w:hAnsi="Times New Roman"/>
          <w:i/>
          <w:sz w:val="24"/>
        </w:rPr>
        <w:t>The 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pPr>
        <w:pStyle w:val="Normal"/>
        <w:suppressAutoHyphens w:val="false"/>
        <w:spacing w:lineRule="auto" w:line="240" w:before="0" w:after="0"/>
        <w:jc w:val="both"/>
        <w:rPr>
          <w:rFonts w:ascii="Times New Roman" w:hAnsi="Times New Roman"/>
          <w:i/>
          <w:i/>
          <w:iCs/>
          <w:sz w:val="24"/>
          <w:szCs w:val="24"/>
        </w:rPr>
      </w:pPr>
      <w:r>
        <w:rPr>
          <w:rFonts w:ascii="Times New Roman" w:hAnsi="Times New Roman"/>
          <w:i/>
          <w:sz w:val="24"/>
        </w:rPr>
        <w:t>The Engineering Division ranks first in the world by the order portfolio and the number of NPPs constructed simultaneously across the world.</w:t>
      </w:r>
    </w:p>
    <w:p>
      <w:pPr>
        <w:pStyle w:val="Normal"/>
        <w:suppressAutoHyphens w:val="false"/>
        <w:spacing w:lineRule="auto" w:line="240" w:before="0" w:after="0"/>
        <w:jc w:val="both"/>
        <w:rPr>
          <w:rFonts w:ascii="Times New Roman" w:hAnsi="Times New Roman"/>
          <w:i/>
          <w:i/>
          <w:iCs/>
          <w:sz w:val="24"/>
          <w:szCs w:val="24"/>
        </w:rPr>
      </w:pPr>
      <w:r>
        <w:rPr>
          <w:rFonts w:ascii="Times New Roman" w:hAnsi="Times New Roman"/>
          <w:i/>
          <w:sz w:val="24"/>
        </w:rPr>
        <w:t>About 80% of the Division’s revenues originate from foreign projects.</w:t>
      </w:r>
    </w:p>
    <w:p>
      <w:pPr>
        <w:pStyle w:val="Normal"/>
        <w:suppressAutoHyphens w:val="false"/>
        <w:spacing w:lineRule="auto" w:line="240" w:before="0" w:after="0"/>
        <w:jc w:val="both"/>
        <w:rPr>
          <w:rFonts w:ascii="Times New Roman" w:hAnsi="Times New Roman"/>
          <w:i/>
          <w:i/>
          <w:iCs/>
          <w:sz w:val="24"/>
          <w:szCs w:val="24"/>
        </w:rPr>
      </w:pPr>
      <w:r>
        <w:rPr>
          <w:rFonts w:ascii="Times New Roman" w:hAnsi="Times New Roman"/>
          <w:i/>
          <w:sz w:val="24"/>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pPr>
        <w:pStyle w:val="Normal"/>
        <w:suppressAutoHyphens w:val="false"/>
        <w:spacing w:lineRule="auto" w:line="240" w:before="0" w:after="0"/>
        <w:jc w:val="both"/>
        <w:rPr>
          <w:rFonts w:ascii="Times New Roman" w:hAnsi="Times New Roman"/>
          <w:sz w:val="24"/>
          <w:szCs w:val="24"/>
        </w:rPr>
      </w:pPr>
      <w:r>
        <w:rPr>
          <w:rFonts w:ascii="Times New Roman" w:hAnsi="Times New Roman"/>
          <w:i/>
          <w:sz w:val="24"/>
        </w:rPr>
        <w:t xml:space="preserve">We construct reliable and safe NPPs with </w:t>
      </w:r>
      <w:r>
        <w:rPr>
          <w:rFonts w:ascii="Times New Roman" w:hAnsi="Times New Roman"/>
          <w:sz w:val="24"/>
        </w:rPr>
        <w:t xml:space="preserve">Gen III+ </w:t>
      </w:r>
      <w:r>
        <w:rPr>
          <w:rFonts w:ascii="Times New Roman" w:hAnsi="Times New Roman"/>
          <w:i/>
          <w:sz w:val="24"/>
        </w:rPr>
        <w:t>VVER reactors that are in line with all international requirements and recommendations.</w:t>
      </w:r>
    </w:p>
    <w:p>
      <w:pPr>
        <w:pStyle w:val="Normal"/>
        <w:suppressAutoHyphens w:val="false"/>
        <w:spacing w:lineRule="auto" w:line="240" w:before="0" w:after="0"/>
        <w:jc w:val="both"/>
        <w:rPr>
          <w:rFonts w:ascii="Times New Roman" w:hAnsi="Times New Roman"/>
          <w:sz w:val="24"/>
          <w:szCs w:val="24"/>
        </w:rPr>
      </w:pPr>
      <w:hyperlink r:id="rId3">
        <w:r>
          <w:rPr>
            <w:rStyle w:val="-"/>
            <w:rFonts w:ascii="Times New Roman" w:hAnsi="Times New Roman"/>
            <w:i/>
            <w:sz w:val="24"/>
          </w:rPr>
          <w:t>www.ase-ec.ru</w:t>
        </w:r>
      </w:hyperlink>
    </w:p>
    <w:sectPr>
      <w:type w:val="nextPage"/>
      <w:pgSz w:w="11906" w:h="16838"/>
      <w:pgMar w:left="1276" w:right="566" w:gutter="0" w:header="0" w:top="426"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swiss"/>
    <w:pitch w:val="default"/>
  </w:font>
  <w:font w:name="Calibri">
    <w:charset w:val="01"/>
    <w:family w:val="swiss"/>
    <w:pitch w:val="default"/>
  </w:font>
  <w:font w:name="Tahoma">
    <w:charset w:val="01"/>
    <w:family w:val="swiss"/>
    <w:pitch w:val="default"/>
  </w:font>
  <w:font w:name="Arial">
    <w:charset w:val="01"/>
    <w:family w:val="swiss"/>
    <w:pitch w:val="default"/>
  </w:font>
  <w:font w:name="SimSun">
    <w:charset w:val="01"/>
    <w:family w:val="swiss"/>
    <w:pitch w:val="default"/>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ar-SA" w:val="en-US"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
    <w:name w:val="Hyperlink"/>
    <w:uiPriority w:val="99"/>
    <w:rPr>
      <w:color w:val="0000FF"/>
      <w:u w:val="single"/>
    </w:rPr>
  </w:style>
  <w:style w:type="character" w:styleId="Style14" w:customStyle="1">
    <w:name w:val="Текст Знак"/>
    <w:qFormat/>
    <w:rPr>
      <w:rFonts w:ascii="Tahoma" w:hAnsi="Tahoma" w:cs="Tahoma"/>
      <w:lang w:val="en-US" w:eastAsia="ar-SA" w:bidi="ar-SA"/>
    </w:rPr>
  </w:style>
  <w:style w:type="character" w:styleId="11" w:customStyle="1">
    <w:name w:val="Знак примечания1"/>
    <w:qFormat/>
    <w:rPr>
      <w:sz w:val="16"/>
      <w:szCs w:val="16"/>
    </w:rPr>
  </w:style>
  <w:style w:type="character" w:styleId="Style15" w:customStyle="1">
    <w:name w:val="Текст примечания Знак"/>
    <w:qFormat/>
    <w:rPr>
      <w:rFonts w:ascii="Calibri" w:hAnsi="Calibri" w:eastAsia="Calibri" w:cs="Calibri"/>
    </w:rPr>
  </w:style>
  <w:style w:type="character" w:styleId="Style16" w:customStyle="1">
    <w:name w:val="Тема примечания Знак"/>
    <w:qFormat/>
    <w:rPr>
      <w:rFonts w:ascii="Calibri" w:hAnsi="Calibri" w:eastAsia="Calibri" w:cs="Calibri"/>
      <w:b/>
      <w:bCs/>
    </w:rPr>
  </w:style>
  <w:style w:type="character" w:styleId="Style17" w:customStyle="1">
    <w:name w:val="Текст выноски Знак"/>
    <w:qFormat/>
    <w:rPr>
      <w:rFonts w:ascii="Tahoma" w:hAnsi="Tahoma" w:eastAsia="Calibri" w:cs="Tahoma"/>
      <w:sz w:val="16"/>
      <w:szCs w:val="16"/>
    </w:rPr>
  </w:style>
  <w:style w:type="character" w:styleId="Strong">
    <w:name w:val="Strong"/>
    <w:uiPriority w:val="22"/>
    <w:qFormat/>
    <w:rPr>
      <w:b/>
      <w:bCs/>
    </w:rPr>
  </w:style>
  <w:style w:type="character" w:styleId="Style18" w:customStyle="1">
    <w:name w:val="Основной текст Знак"/>
    <w:qFormat/>
    <w:rPr>
      <w:rFonts w:ascii="Calibri" w:hAnsi="Calibri" w:eastAsia="Calibri" w:cs="Calibri"/>
      <w:sz w:val="22"/>
      <w:szCs w:val="22"/>
    </w:rPr>
  </w:style>
  <w:style w:type="character" w:styleId="12" w:customStyle="1">
    <w:name w:val="Текст выноски Знак1"/>
    <w:basedOn w:val="DefaultParagraphFont"/>
    <w:link w:val="BalloonText"/>
    <w:uiPriority w:val="99"/>
    <w:semiHidden/>
    <w:qFormat/>
    <w:rsid w:val="00303d25"/>
    <w:rPr>
      <w:rFonts w:ascii="Tahoma" w:hAnsi="Tahoma" w:eastAsia="Calibri" w:cs="Tahoma"/>
      <w:sz w:val="16"/>
      <w:szCs w:val="16"/>
      <w:lang w:eastAsia="ar-SA"/>
    </w:rPr>
  </w:style>
  <w:style w:type="character" w:styleId="S1" w:customStyle="1">
    <w:name w:val="s1"/>
    <w:basedOn w:val="DefaultParagraphFont"/>
    <w:qFormat/>
    <w:rsid w:val="00725d84"/>
    <w:rPr/>
  </w:style>
  <w:style w:type="character" w:styleId="S2" w:customStyle="1">
    <w:name w:val="s2"/>
    <w:basedOn w:val="DefaultParagraphFont"/>
    <w:qFormat/>
    <w:rsid w:val="00725d84"/>
    <w:rPr/>
  </w:style>
  <w:style w:type="paragraph" w:styleId="Style19">
    <w:name w:val="Заголовок"/>
    <w:basedOn w:val="Normal"/>
    <w:next w:val="Style20"/>
    <w:qFormat/>
    <w:pPr>
      <w:keepNext w:val="true"/>
      <w:spacing w:before="240" w:after="120"/>
    </w:pPr>
    <w:rPr>
      <w:rFonts w:ascii="Calibri" w:hAnsi="Calibri" w:eastAsia="Microsoft YaHei" w:cs="Arial"/>
      <w:sz w:val="28"/>
      <w:szCs w:val="28"/>
    </w:rPr>
  </w:style>
  <w:style w:type="paragraph" w:styleId="Style20">
    <w:name w:val="Body Text"/>
    <w:basedOn w:val="Normal"/>
    <w:pPr>
      <w:spacing w:before="0" w:after="12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ascii="Calibri" w:hAnsi="Calibri" w:cs="Arial"/>
      <w:i/>
      <w:iCs/>
      <w:sz w:val="24"/>
      <w:szCs w:val="24"/>
    </w:rPr>
  </w:style>
  <w:style w:type="paragraph" w:styleId="Style23">
    <w:name w:val="Указатель"/>
    <w:basedOn w:val="Normal"/>
    <w:qFormat/>
    <w:pPr>
      <w:suppressLineNumbers/>
    </w:pPr>
    <w:rPr>
      <w:rFonts w:ascii="Calibri" w:hAnsi="Calibri" w:cs="Arial"/>
    </w:rPr>
  </w:style>
  <w:style w:type="paragraph" w:styleId="13" w:customStyle="1">
    <w:name w:val="Заголовок1"/>
    <w:basedOn w:val="Normal"/>
    <w:next w:val="Style20"/>
    <w:qFormat/>
    <w:pPr>
      <w:keepNext w:val="true"/>
      <w:spacing w:before="240" w:after="120"/>
    </w:pPr>
    <w:rPr>
      <w:rFonts w:ascii="Arial" w:hAnsi="Arial" w:eastAsia="Microsoft YaHei" w:cs="Lucida Sans"/>
      <w:sz w:val="28"/>
      <w:szCs w:val="28"/>
    </w:rPr>
  </w:style>
  <w:style w:type="paragraph" w:styleId="14" w:customStyle="1">
    <w:name w:val="Название1"/>
    <w:basedOn w:val="Normal"/>
    <w:qFormat/>
    <w:pPr>
      <w:suppressLineNumbers/>
      <w:spacing w:before="120" w:after="120"/>
    </w:pPr>
    <w:rPr>
      <w:rFonts w:cs="Lucida Sans"/>
      <w:i/>
      <w:iCs/>
      <w:sz w:val="24"/>
      <w:szCs w:val="24"/>
    </w:rPr>
  </w:style>
  <w:style w:type="paragraph" w:styleId="15" w:customStyle="1">
    <w:name w:val="Указатель1"/>
    <w:basedOn w:val="Normal"/>
    <w:qFormat/>
    <w:pPr>
      <w:suppressLineNumbers/>
    </w:pPr>
    <w:rPr>
      <w:rFonts w:cs="Lucida Sans"/>
    </w:rPr>
  </w:style>
  <w:style w:type="paragraph" w:styleId="16" w:customStyle="1">
    <w:name w:val="Обычный (веб)1"/>
    <w:basedOn w:val="Normal"/>
    <w:qFormat/>
    <w:pPr>
      <w:spacing w:lineRule="atLeast" w:line="100" w:before="100" w:after="100"/>
    </w:pPr>
    <w:rPr>
      <w:rFonts w:ascii="Times New Roman" w:hAnsi="Times New Roman"/>
      <w:sz w:val="24"/>
      <w:szCs w:val="24"/>
    </w:rPr>
  </w:style>
  <w:style w:type="paragraph" w:styleId="17" w:customStyle="1">
    <w:name w:val="Текст1"/>
    <w:basedOn w:val="Normal"/>
    <w:qFormat/>
    <w:pPr>
      <w:spacing w:lineRule="atLeast" w:line="100" w:before="0" w:after="0"/>
    </w:pPr>
    <w:rPr>
      <w:rFonts w:ascii="Tahoma" w:hAnsi="Tahoma" w:eastAsia="Times New Roman" w:cs="Tahoma"/>
      <w:sz w:val="20"/>
      <w:szCs w:val="20"/>
    </w:rPr>
  </w:style>
  <w:style w:type="paragraph" w:styleId="HTML1" w:customStyle="1">
    <w:name w:val="Стандартный HTML1"/>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before="0" w:after="0"/>
    </w:pPr>
    <w:rPr>
      <w:rFonts w:ascii="SimSun" w:hAnsi="SimSun" w:eastAsia="SimSun" w:cs="SimSu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eastAsia="ar-SA" w:val="en-US" w:bidi="ar-SA"/>
    </w:rPr>
  </w:style>
  <w:style w:type="paragraph" w:styleId="18" w:customStyle="1">
    <w:name w:val="Без интервала1"/>
    <w:qFormat/>
    <w:pPr>
      <w:widowControl/>
      <w:suppressAutoHyphens w:val="true"/>
      <w:bidi w:val="0"/>
      <w:spacing w:before="0" w:after="0"/>
      <w:jc w:val="left"/>
    </w:pPr>
    <w:rPr>
      <w:rFonts w:ascii="Calibri" w:hAnsi="Calibri" w:eastAsia="Times New Roman" w:cs="Times New Roman"/>
      <w:color w:val="auto"/>
      <w:kern w:val="0"/>
      <w:sz w:val="22"/>
      <w:szCs w:val="22"/>
      <w:lang w:eastAsia="ar-SA" w:val="en-US" w:bidi="ar-SA"/>
    </w:rPr>
  </w:style>
  <w:style w:type="paragraph" w:styleId="19" w:customStyle="1">
    <w:name w:val="Текст примечания1"/>
    <w:basedOn w:val="Normal"/>
    <w:qFormat/>
    <w:pPr/>
    <w:rPr>
      <w:sz w:val="20"/>
      <w:szCs w:val="20"/>
    </w:rPr>
  </w:style>
  <w:style w:type="paragraph" w:styleId="110" w:customStyle="1">
    <w:name w:val="Тема примечания1"/>
    <w:basedOn w:val="19"/>
    <w:qFormat/>
    <w:pPr/>
    <w:rPr>
      <w:b/>
      <w:bCs/>
    </w:rPr>
  </w:style>
  <w:style w:type="paragraph" w:styleId="111" w:customStyle="1">
    <w:name w:val="Текст выноски1"/>
    <w:basedOn w:val="Normal"/>
    <w:qFormat/>
    <w:pPr>
      <w:spacing w:lineRule="atLeast" w:line="100" w:before="0" w:after="0"/>
    </w:pPr>
    <w:rPr>
      <w:rFonts w:ascii="Tahoma" w:hAnsi="Tahoma" w:cs="Tahoma"/>
      <w:sz w:val="16"/>
      <w:szCs w:val="16"/>
    </w:rPr>
  </w:style>
  <w:style w:type="paragraph" w:styleId="112" w:customStyle="1">
    <w:name w:val="Рецензия1"/>
    <w:qFormat/>
    <w:pPr>
      <w:widowControl/>
      <w:suppressAutoHyphens w:val="true"/>
      <w:bidi w:val="0"/>
      <w:spacing w:before="0" w:after="0"/>
      <w:jc w:val="left"/>
    </w:pPr>
    <w:rPr>
      <w:rFonts w:ascii="Calibri" w:hAnsi="Calibri" w:eastAsia="Calibri" w:cs="Times New Roman"/>
      <w:color w:val="auto"/>
      <w:kern w:val="0"/>
      <w:sz w:val="22"/>
      <w:szCs w:val="22"/>
      <w:lang w:eastAsia="ar-SA" w:val="en-US" w:bidi="ar-SA"/>
    </w:rPr>
  </w:style>
  <w:style w:type="paragraph" w:styleId="Style61" w:customStyle="1">
    <w:name w:val="style6"/>
    <w:basedOn w:val="Normal"/>
    <w:qFormat/>
    <w:pPr>
      <w:spacing w:lineRule="atLeast" w:line="100" w:before="100" w:after="100"/>
    </w:pPr>
    <w:rPr>
      <w:rFonts w:ascii="Times New Roman" w:hAnsi="Times New Roman" w:eastAsia="Times New Roman"/>
      <w:b/>
      <w:bCs/>
      <w:sz w:val="27"/>
      <w:szCs w:val="27"/>
    </w:rPr>
  </w:style>
  <w:style w:type="paragraph" w:styleId="BalloonText">
    <w:name w:val="Balloon Text"/>
    <w:basedOn w:val="Normal"/>
    <w:link w:val="12"/>
    <w:uiPriority w:val="99"/>
    <w:semiHidden/>
    <w:unhideWhenUsed/>
    <w:qFormat/>
    <w:rsid w:val="00303d25"/>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1f6689"/>
    <w:pPr>
      <w:suppressAutoHyphens w:val="false"/>
      <w:spacing w:lineRule="auto" w:line="240" w:beforeAutospacing="1" w:afterAutospacing="1"/>
    </w:pPr>
    <w:rPr>
      <w:rFonts w:ascii="Times New Roman" w:hAnsi="Times New Roman" w:eastAsia="Times New Roman"/>
      <w:sz w:val="24"/>
      <w:szCs w:val="24"/>
      <w:lang w:eastAsia="ru-RU"/>
    </w:rPr>
  </w:style>
  <w:style w:type="paragraph" w:styleId="P1" w:customStyle="1">
    <w:name w:val="p1"/>
    <w:basedOn w:val="Normal"/>
    <w:qFormat/>
    <w:rsid w:val="00725d84"/>
    <w:pPr>
      <w:suppressAutoHyphens w:val="false"/>
      <w:spacing w:lineRule="auto" w:line="240" w:beforeAutospacing="1" w:afterAutospacing="1"/>
    </w:pPr>
    <w:rPr>
      <w:rFonts w:ascii="Times New Roman" w:hAnsi="Times New Roman" w:eastAsia="Calibri" w:eastAsiaTheme="minorHAnsi"/>
      <w:sz w:val="24"/>
      <w:szCs w:val="24"/>
      <w:lang w:val="ru-RU" w:eastAsia="ru-RU"/>
    </w:rPr>
  </w:style>
  <w:style w:type="paragraph" w:styleId="NoSpacing">
    <w:name w:val="No Spacing"/>
    <w:uiPriority w:val="1"/>
    <w:qFormat/>
    <w:rsid w:val="00725d84"/>
    <w:pPr>
      <w:widowControl/>
      <w:suppressAutoHyphens w:val="true"/>
      <w:bidi w:val="0"/>
      <w:spacing w:before="0" w:after="0"/>
      <w:jc w:val="left"/>
    </w:pPr>
    <w:rPr>
      <w:rFonts w:ascii="Calibri" w:hAnsi="Calibri" w:eastAsia="Calibri" w:cs="Times New Roman"/>
      <w:color w:val="auto"/>
      <w:kern w:val="0"/>
      <w:sz w:val="22"/>
      <w:szCs w:val="22"/>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se-ec.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DocSecurity>0</DocSecurity>
  <Pages>3</Pages>
  <Words>770</Words>
  <Characters>4346</Characters>
  <CharactersWithSpaces>5101</CharactersWithSpaces>
  <Paragraphs>20</Paragraphs>
  <Company>NIAEP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2023-06-21T07:47:00Z</dcterms:created>
  <dc:creator>Герасимова</dc:creator>
  <dc:description/>
  <dc:language>ru-RU</dc:language>
  <cp:lastModifiedBy/>
  <cp:lastPrinted>2018-09-11T09:43:00Z</cp:lastPrinted>
  <dcterms:modified xsi:type="dcterms:W3CDTF">2023-12-22T10:35:56Z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faa0839af1a0e4afde69a090629f1209396b3db63907b922253c8b31b38e86aa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