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eastAsia="Arial" w:cs="Arial"/>
          <w:b/>
        </w:rPr>
      </w:pPr>
      <w:r>
        <w:rPr>
          <w:rFonts w:eastAsia="Arial" w:cs="Arial"/>
          <w:b/>
        </w:rPr>
        <w:t>Екатерина Солнцева на сессии «Технологическое лидерство»</w:t>
      </w:r>
    </w:p>
    <w:p w14:paraId="00000002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ind w:left="0" w:hanging="2"/>
        <w:rPr>
          <w:rFonts w:eastAsia="Arial" w:cs="Arial"/>
          <w:sz w:val="22"/>
          <w:szCs w:val="22"/>
          <w:u w:val="single"/>
        </w:rPr>
      </w:pPr>
      <w:r>
        <w:rPr>
          <w:rFonts w:eastAsia="Arial" w:cs="Arial"/>
          <w:b/>
        </w:rPr>
        <w:t>Директор по цифровизации Госкорпорации «Росатом»</w:t>
      </w:r>
    </w:p>
    <w:p w14:paraId="00000003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eastAsia="Arial" w:cs="Arial"/>
          <w:i/>
        </w:rPr>
      </w:pPr>
      <w:r>
        <w:rPr>
          <w:rFonts w:eastAsia="Arial" w:cs="Arial"/>
          <w:i/>
        </w:rPr>
        <w:t>Выступление на сессии «Технологическое лидерство»:</w:t>
      </w:r>
    </w:p>
    <w:p w14:paraId="00000004" w14:textId="77777777" w:rsidR="002D226B" w:rsidRDefault="002D2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eastAsia="Arial" w:cs="Arial"/>
          <w:sz w:val="22"/>
          <w:szCs w:val="22"/>
        </w:rPr>
      </w:pPr>
    </w:p>
    <w:p w14:paraId="00000005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sz w:val="22"/>
          <w:szCs w:val="22"/>
        </w:rPr>
        <w:t>Благодаря интенсивной работе по поручениям председат</w:t>
      </w:r>
      <w:r>
        <w:rPr>
          <w:rFonts w:eastAsia="Arial" w:cs="Arial"/>
          <w:color w:val="000000"/>
          <w:sz w:val="22"/>
          <w:szCs w:val="22"/>
        </w:rPr>
        <w:t>еля правительства за прошедший год российской промышленности был дан серьезный толчок в части импортозамещения программного обеспечения. Было сформировано более 150 значимых проектов в рамках индустриальн</w:t>
      </w:r>
      <w:r>
        <w:rPr>
          <w:rFonts w:eastAsia="Arial" w:cs="Arial"/>
          <w:color w:val="000000"/>
          <w:sz w:val="22"/>
          <w:szCs w:val="22"/>
        </w:rPr>
        <w:t>ых центров компетенций. Но теперь очень важно посмотреть, как эти проекты ложатся на ИТ-ландшафт, какие зоны у нас не закрыты. А они у нас есть, потому что мы понимаем, что точечные проекты не могут закрыть весь ландшафт: может быть, они его закрывают цели</w:t>
      </w:r>
      <w:r>
        <w:rPr>
          <w:rFonts w:eastAsia="Arial" w:cs="Arial"/>
          <w:color w:val="000000"/>
          <w:sz w:val="22"/>
          <w:szCs w:val="22"/>
        </w:rPr>
        <w:t xml:space="preserve">ком, а может, оставляют «серые зоны». Поэтому наша ключевая задача сейчас </w:t>
      </w:r>
      <w:r>
        <w:rPr>
          <w:rFonts w:eastAsia="Arial" w:cs="Arial"/>
          <w:sz w:val="22"/>
          <w:szCs w:val="22"/>
        </w:rPr>
        <w:t>—</w:t>
      </w:r>
      <w:r>
        <w:rPr>
          <w:rFonts w:eastAsia="Arial" w:cs="Arial"/>
          <w:color w:val="000000"/>
          <w:sz w:val="22"/>
          <w:szCs w:val="22"/>
        </w:rPr>
        <w:t xml:space="preserve"> эти незакрытые зоны ликвидировать. И именно на это должны быть направлены проекты ИЦК второй очереди.</w:t>
      </w:r>
    </w:p>
    <w:p w14:paraId="00000006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Как это можно сделать? Во-первых, необходимо рассмотреть все проекты, которые </w:t>
      </w:r>
      <w:r>
        <w:rPr>
          <w:rFonts w:eastAsia="Arial" w:cs="Arial"/>
          <w:color w:val="000000"/>
          <w:sz w:val="22"/>
          <w:szCs w:val="22"/>
        </w:rPr>
        <w:t xml:space="preserve">уже существуют, но не только в разрезе соответствия отраслям, </w:t>
      </w:r>
      <w:r>
        <w:rPr>
          <w:rFonts w:eastAsia="Arial" w:cs="Arial"/>
          <w:sz w:val="22"/>
          <w:szCs w:val="22"/>
        </w:rPr>
        <w:t>а</w:t>
      </w:r>
      <w:r>
        <w:rPr>
          <w:rFonts w:eastAsia="Arial" w:cs="Arial"/>
          <w:color w:val="000000"/>
          <w:sz w:val="22"/>
          <w:szCs w:val="22"/>
        </w:rPr>
        <w:t xml:space="preserve"> в разрезе классов программного обеспечения. Проект из дорожной карты «Новое индустриальное программное обеспечение», который существует в рамках Центра компетенций по импортозамещению в сфере </w:t>
      </w:r>
      <w:r>
        <w:rPr>
          <w:rFonts w:eastAsia="Arial" w:cs="Arial"/>
          <w:color w:val="000000"/>
          <w:sz w:val="22"/>
          <w:szCs w:val="22"/>
        </w:rPr>
        <w:t>ИКТ (ЦКИТ) это уже сделал, и эти зоны уже видны. Также большая работа была проведена под руководством Алексея Ивановича Боровкова (</w:t>
      </w:r>
      <w:r>
        <w:rPr>
          <w:rFonts w:eastAsia="Arial" w:cs="Arial"/>
          <w:i/>
          <w:color w:val="000000"/>
          <w:sz w:val="22"/>
          <w:szCs w:val="22"/>
        </w:rPr>
        <w:t>проректора по цифровой трансформации Санкт-Петербургского политехнического университета Петра Великого</w:t>
      </w:r>
      <w:r>
        <w:rPr>
          <w:rFonts w:eastAsia="Arial" w:cs="Arial"/>
          <w:color w:val="000000"/>
          <w:sz w:val="22"/>
          <w:szCs w:val="22"/>
        </w:rPr>
        <w:t xml:space="preserve">) по анализу в области </w:t>
      </w:r>
      <w:r>
        <w:rPr>
          <w:rFonts w:eastAsia="Arial" w:cs="Arial"/>
          <w:color w:val="000000"/>
          <w:sz w:val="22"/>
          <w:szCs w:val="22"/>
        </w:rPr>
        <w:t xml:space="preserve">класса САЕ </w:t>
      </w:r>
      <w:r>
        <w:rPr>
          <w:rFonts w:eastAsia="Arial" w:cs="Arial"/>
          <w:sz w:val="22"/>
          <w:szCs w:val="22"/>
        </w:rPr>
        <w:t>—</w:t>
      </w:r>
      <w:r>
        <w:rPr>
          <w:rFonts w:eastAsia="Arial" w:cs="Arial"/>
          <w:color w:val="000000"/>
          <w:sz w:val="22"/>
          <w:szCs w:val="22"/>
        </w:rPr>
        <w:t xml:space="preserve"> насколько существующие на российском рынке решения действительно покрывают функциональность лидеров. И были обозначены соответствующие цифры.</w:t>
      </w:r>
    </w:p>
    <w:p w14:paraId="00000007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Тут сразу надо понимать, что это относится к анонсируемой</w:t>
      </w:r>
      <w:r>
        <w:rPr>
          <w:rFonts w:eastAsia="Arial" w:cs="Arial"/>
          <w:color w:val="000000"/>
          <w:sz w:val="22"/>
          <w:szCs w:val="22"/>
        </w:rPr>
        <w:t xml:space="preserve"> функциональности, тогда как не все, что анонсировано, реально востребовано. То есть, например, когда мы разрабатываем наш цифровой продукт «Логос», мы регулярно слышим, что нам не надо стремиться к тому, чтобы повторить стопроцентную функциональность, пот</w:t>
      </w:r>
      <w:r>
        <w:rPr>
          <w:rFonts w:eastAsia="Arial" w:cs="Arial"/>
          <w:color w:val="000000"/>
          <w:sz w:val="22"/>
          <w:szCs w:val="22"/>
        </w:rPr>
        <w:t xml:space="preserve">ому что она просто не вся нужна. </w:t>
      </w:r>
      <w:r>
        <w:rPr>
          <w:rFonts w:eastAsia="Arial" w:cs="Arial"/>
          <w:sz w:val="22"/>
          <w:szCs w:val="22"/>
        </w:rPr>
        <w:t>Н</w:t>
      </w:r>
      <w:r>
        <w:rPr>
          <w:rFonts w:eastAsia="Arial" w:cs="Arial"/>
          <w:color w:val="000000"/>
          <w:sz w:val="22"/>
          <w:szCs w:val="22"/>
        </w:rPr>
        <w:t>е надо тратить время на то, что не нужно, тратьте его на развитие того, чего, может быть, за рубежом нет, а промышленностью востребовано.</w:t>
      </w:r>
    </w:p>
    <w:p w14:paraId="00000008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Поэтому сейчас следующим шагом </w:t>
      </w:r>
      <w:r>
        <w:rPr>
          <w:rFonts w:eastAsia="Arial" w:cs="Arial"/>
          <w:sz w:val="22"/>
          <w:szCs w:val="22"/>
        </w:rPr>
        <w:t>нужно</w:t>
      </w:r>
      <w:r>
        <w:rPr>
          <w:rFonts w:eastAsia="Arial" w:cs="Arial"/>
          <w:color w:val="000000"/>
          <w:sz w:val="22"/>
          <w:szCs w:val="22"/>
        </w:rPr>
        <w:t xml:space="preserve"> перейти от анализа общей функциональности к ана</w:t>
      </w:r>
      <w:r>
        <w:rPr>
          <w:rFonts w:eastAsia="Arial" w:cs="Arial"/>
          <w:color w:val="000000"/>
          <w:sz w:val="22"/>
          <w:szCs w:val="22"/>
        </w:rPr>
        <w:t>лизу функциональности востребованной</w:t>
      </w:r>
      <w:r>
        <w:rPr>
          <w:rFonts w:eastAsia="Arial" w:cs="Arial"/>
          <w:sz w:val="22"/>
          <w:szCs w:val="22"/>
        </w:rPr>
        <w:t xml:space="preserve"> —</w:t>
      </w:r>
      <w:r>
        <w:rPr>
          <w:rFonts w:eastAsia="Arial" w:cs="Arial"/>
          <w:color w:val="000000"/>
          <w:sz w:val="22"/>
          <w:szCs w:val="22"/>
        </w:rPr>
        <w:t xml:space="preserve"> и там, конечно, будут другие цифры. Но даже уже сейчас видно, что… Алексей Иванович (Боровков), поправьте меня, если я какие-то цифры неправильно произнесу</w:t>
      </w:r>
      <w:r>
        <w:rPr>
          <w:rFonts w:eastAsia="Arial" w:cs="Arial"/>
          <w:sz w:val="22"/>
          <w:szCs w:val="22"/>
        </w:rPr>
        <w:t>.</w:t>
      </w:r>
      <w:r>
        <w:rPr>
          <w:rFonts w:eastAsia="Arial" w:cs="Arial"/>
          <w:color w:val="000000"/>
          <w:sz w:val="22"/>
          <w:szCs w:val="22"/>
        </w:rPr>
        <w:t xml:space="preserve"> «Логос» был обозначен с 62 % соответствия. Но мы создали кон</w:t>
      </w:r>
      <w:r>
        <w:rPr>
          <w:rFonts w:eastAsia="Arial" w:cs="Arial"/>
          <w:color w:val="000000"/>
          <w:sz w:val="22"/>
          <w:szCs w:val="22"/>
        </w:rPr>
        <w:t>сорциум компаний (</w:t>
      </w:r>
      <w:r>
        <w:rPr>
          <w:rFonts w:eastAsia="Arial" w:cs="Arial"/>
          <w:i/>
          <w:color w:val="000000"/>
          <w:sz w:val="22"/>
          <w:szCs w:val="22"/>
        </w:rPr>
        <w:t>Консорциум разработчиков и потребителей систем CAD и CAE</w:t>
      </w:r>
      <w:r>
        <w:rPr>
          <w:rFonts w:eastAsia="Arial" w:cs="Arial"/>
          <w:color w:val="000000"/>
          <w:sz w:val="22"/>
          <w:szCs w:val="22"/>
        </w:rPr>
        <w:t xml:space="preserve">), которые согласились работать на базе «Логос Платформы» и координировать свои доработки для того, чтобы получался единый продукт, </w:t>
      </w:r>
      <w:r>
        <w:rPr>
          <w:rFonts w:eastAsia="Arial" w:cs="Arial"/>
          <w:sz w:val="22"/>
          <w:szCs w:val="22"/>
        </w:rPr>
        <w:t>—</w:t>
      </w:r>
      <w:r>
        <w:rPr>
          <w:rFonts w:eastAsia="Arial" w:cs="Arial"/>
          <w:color w:val="000000"/>
          <w:sz w:val="22"/>
          <w:szCs w:val="22"/>
        </w:rPr>
        <w:t xml:space="preserve"> они уже дают под 70 % функциональности. Иными сл</w:t>
      </w:r>
      <w:r>
        <w:rPr>
          <w:rFonts w:eastAsia="Arial" w:cs="Arial"/>
          <w:color w:val="000000"/>
          <w:sz w:val="22"/>
          <w:szCs w:val="22"/>
        </w:rPr>
        <w:t>овами, одним объединением усилий мы переходим от 62 % к 70, а если мы объединим усилия с вендорами, которые в консорциум еще не вошли, но присутствуют в проведенном анализе, то сразу достигнем 85 %. В принципе, мы имеем возможность за несколько месяцев при</w:t>
      </w:r>
      <w:r>
        <w:rPr>
          <w:rFonts w:eastAsia="Arial" w:cs="Arial"/>
          <w:color w:val="000000"/>
          <w:sz w:val="22"/>
          <w:szCs w:val="22"/>
        </w:rPr>
        <w:t>йти к этому результату. А с учетом того, что не все, что анонсировано, востребовано, то показатель окажется очень близким к мировому аналогу. И следующий шаг уже будет доработк</w:t>
      </w:r>
      <w:r>
        <w:rPr>
          <w:rFonts w:eastAsia="Arial" w:cs="Arial"/>
          <w:sz w:val="22"/>
          <w:szCs w:val="22"/>
        </w:rPr>
        <w:t>ой</w:t>
      </w:r>
      <w:r>
        <w:rPr>
          <w:rFonts w:eastAsia="Arial" w:cs="Arial"/>
          <w:color w:val="000000"/>
          <w:sz w:val="22"/>
          <w:szCs w:val="22"/>
        </w:rPr>
        <w:t xml:space="preserve"> этой системы до лидирующих мировых позиций, а это можно сделать в горизонте года.</w:t>
      </w:r>
    </w:p>
    <w:p w14:paraId="00000009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Сейчас нужно такое проектное объединение усилий — стартовать. Там может быть много сложностей. </w:t>
      </w:r>
      <w:r>
        <w:rPr>
          <w:rFonts w:eastAsia="Arial" w:cs="Arial"/>
          <w:sz w:val="22"/>
          <w:szCs w:val="22"/>
        </w:rPr>
        <w:t>С</w:t>
      </w:r>
      <w:r>
        <w:rPr>
          <w:rFonts w:eastAsia="Arial" w:cs="Arial"/>
          <w:color w:val="000000"/>
          <w:sz w:val="22"/>
          <w:szCs w:val="22"/>
        </w:rPr>
        <w:t>амый главный вопрос</w:t>
      </w:r>
      <w:r>
        <w:rPr>
          <w:rFonts w:eastAsia="Arial" w:cs="Arial"/>
          <w:sz w:val="22"/>
          <w:szCs w:val="22"/>
        </w:rPr>
        <w:t xml:space="preserve"> —</w:t>
      </w:r>
      <w:r>
        <w:rPr>
          <w:rFonts w:eastAsia="Arial" w:cs="Arial"/>
          <w:color w:val="000000"/>
          <w:sz w:val="22"/>
          <w:szCs w:val="22"/>
        </w:rPr>
        <w:t xml:space="preserve"> как это сделать. Потому что мы рыночных конкурентов раз</w:t>
      </w:r>
      <w:r>
        <w:rPr>
          <w:rFonts w:eastAsia="Arial" w:cs="Arial"/>
          <w:color w:val="000000"/>
          <w:sz w:val="22"/>
          <w:szCs w:val="22"/>
        </w:rPr>
        <w:t>мещаем на одной платформе</w:t>
      </w:r>
      <w:r>
        <w:rPr>
          <w:rFonts w:eastAsia="Arial" w:cs="Arial"/>
          <w:sz w:val="22"/>
          <w:szCs w:val="22"/>
        </w:rPr>
        <w:t xml:space="preserve"> и</w:t>
      </w:r>
      <w:r>
        <w:rPr>
          <w:rFonts w:eastAsia="Arial" w:cs="Arial"/>
          <w:color w:val="000000"/>
          <w:sz w:val="22"/>
          <w:szCs w:val="22"/>
        </w:rPr>
        <w:t xml:space="preserve"> при этом должны не убить конкуренцию, но дать возможность конкурентам работать вместе в условиях такой здоровой конкуренции. И обеспечить расчеты между этими разными игроками. Но это именно тот шаг, который позволит нам быстрее </w:t>
      </w:r>
      <w:r>
        <w:rPr>
          <w:rFonts w:eastAsia="Arial" w:cs="Arial"/>
          <w:color w:val="000000"/>
          <w:sz w:val="22"/>
          <w:szCs w:val="22"/>
        </w:rPr>
        <w:t xml:space="preserve">продвинуться по классу в целом и сделать рывок. </w:t>
      </w:r>
    </w:p>
    <w:p w14:paraId="0000000A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Похожая история с PLM. Она более сложная, потому что там нельзя </w:t>
      </w:r>
      <w:r>
        <w:rPr>
          <w:rFonts w:eastAsia="Arial" w:cs="Arial"/>
          <w:sz w:val="22"/>
          <w:szCs w:val="22"/>
        </w:rPr>
        <w:t>создать</w:t>
      </w:r>
      <w:r>
        <w:rPr>
          <w:rFonts w:eastAsia="Arial" w:cs="Arial"/>
          <w:color w:val="000000"/>
          <w:sz w:val="22"/>
          <w:szCs w:val="22"/>
        </w:rPr>
        <w:t xml:space="preserve"> одну единственную, единую платформу, на которую </w:t>
      </w:r>
      <w:r>
        <w:rPr>
          <w:rFonts w:eastAsia="Arial" w:cs="Arial"/>
          <w:sz w:val="22"/>
          <w:szCs w:val="22"/>
        </w:rPr>
        <w:t xml:space="preserve">удастся посадить </w:t>
      </w:r>
      <w:r>
        <w:rPr>
          <w:rFonts w:eastAsia="Arial" w:cs="Arial"/>
          <w:color w:val="000000"/>
          <w:sz w:val="22"/>
          <w:szCs w:val="22"/>
        </w:rPr>
        <w:t>всех игроков, чтобы они друг друга дополняли. Но здесь тоже критически</w:t>
      </w:r>
      <w:r>
        <w:rPr>
          <w:rFonts w:eastAsia="Arial" w:cs="Arial"/>
          <w:color w:val="000000"/>
          <w:sz w:val="22"/>
          <w:szCs w:val="22"/>
        </w:rPr>
        <w:t xml:space="preserve"> важно объединение усилий. То есть поддержка государством исключительно внедрения и точечных доработок </w:t>
      </w:r>
      <w:r>
        <w:rPr>
          <w:rFonts w:eastAsia="Arial" w:cs="Arial"/>
          <w:sz w:val="22"/>
          <w:szCs w:val="22"/>
        </w:rPr>
        <w:t>—</w:t>
      </w:r>
      <w:r>
        <w:rPr>
          <w:rFonts w:eastAsia="Arial" w:cs="Arial"/>
          <w:color w:val="000000"/>
          <w:sz w:val="22"/>
          <w:szCs w:val="22"/>
        </w:rPr>
        <w:t xml:space="preserve"> это прекрасно, но этого недостаточно. И нужно сделать следующий шаг.</w:t>
      </w:r>
    </w:p>
    <w:p w14:paraId="0000000B" w14:textId="77777777" w:rsidR="002D226B" w:rsidRDefault="00B41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По поводу экспорта</w:t>
      </w:r>
      <w:r>
        <w:rPr>
          <w:rFonts w:eastAsia="Arial" w:cs="Arial"/>
          <w:sz w:val="22"/>
          <w:szCs w:val="22"/>
        </w:rPr>
        <w:t xml:space="preserve"> —</w:t>
      </w:r>
      <w:r>
        <w:rPr>
          <w:rFonts w:eastAsia="Arial" w:cs="Arial"/>
          <w:color w:val="000000"/>
          <w:sz w:val="22"/>
          <w:szCs w:val="22"/>
        </w:rPr>
        <w:t xml:space="preserve"> что я хочу сказать. Давайте мы сначала у себя полноценно потр</w:t>
      </w:r>
      <w:r>
        <w:rPr>
          <w:rFonts w:eastAsia="Arial" w:cs="Arial"/>
          <w:color w:val="000000"/>
          <w:sz w:val="22"/>
          <w:szCs w:val="22"/>
        </w:rPr>
        <w:t xml:space="preserve">енируемся, а потом </w:t>
      </w:r>
      <w:r>
        <w:rPr>
          <w:rFonts w:eastAsia="Arial" w:cs="Arial"/>
          <w:sz w:val="22"/>
          <w:szCs w:val="22"/>
        </w:rPr>
        <w:t xml:space="preserve">перейдем к </w:t>
      </w:r>
      <w:r>
        <w:rPr>
          <w:rFonts w:eastAsia="Arial" w:cs="Arial"/>
          <w:color w:val="000000"/>
          <w:sz w:val="22"/>
          <w:szCs w:val="22"/>
        </w:rPr>
        <w:t xml:space="preserve">экспорту, хотя думать об этом нужно уже сейчас. </w:t>
      </w:r>
      <w:r>
        <w:rPr>
          <w:rFonts w:eastAsia="Arial" w:cs="Arial"/>
          <w:sz w:val="22"/>
          <w:szCs w:val="22"/>
        </w:rPr>
        <w:t>Н</w:t>
      </w:r>
      <w:r>
        <w:rPr>
          <w:rFonts w:eastAsia="Arial" w:cs="Arial"/>
          <w:color w:val="000000"/>
          <w:sz w:val="22"/>
          <w:szCs w:val="22"/>
        </w:rPr>
        <w:t>а следующей неделе в Сочи проходит выставка ЕАЭС, где будут представлены самые разные решения</w:t>
      </w:r>
      <w:r>
        <w:rPr>
          <w:rFonts w:eastAsia="Arial" w:cs="Arial"/>
          <w:sz w:val="22"/>
          <w:szCs w:val="22"/>
        </w:rPr>
        <w:t>.</w:t>
      </w:r>
      <w:r>
        <w:rPr>
          <w:rFonts w:eastAsia="Arial" w:cs="Arial"/>
          <w:color w:val="000000"/>
          <w:sz w:val="22"/>
          <w:szCs w:val="22"/>
        </w:rPr>
        <w:t xml:space="preserve"> То есть, на мой взгляд, выходить на международный рынок надо за счет привлечения в</w:t>
      </w:r>
      <w:r>
        <w:rPr>
          <w:rFonts w:eastAsia="Arial" w:cs="Arial"/>
          <w:color w:val="000000"/>
          <w:sz w:val="22"/>
          <w:szCs w:val="22"/>
        </w:rPr>
        <w:t xml:space="preserve"> нашу кооперацию тех компаний, </w:t>
      </w:r>
      <w:r>
        <w:rPr>
          <w:rFonts w:eastAsia="Arial" w:cs="Arial"/>
          <w:color w:val="000000"/>
          <w:sz w:val="22"/>
          <w:szCs w:val="22"/>
        </w:rPr>
        <w:lastRenderedPageBreak/>
        <w:t xml:space="preserve">которые работают на рынке ЕАЭС, </w:t>
      </w:r>
      <w:r>
        <w:rPr>
          <w:rFonts w:eastAsia="Arial" w:cs="Arial"/>
          <w:sz w:val="22"/>
          <w:szCs w:val="22"/>
        </w:rPr>
        <w:t>—</w:t>
      </w:r>
      <w:r>
        <w:rPr>
          <w:rFonts w:eastAsia="Arial" w:cs="Arial"/>
          <w:color w:val="000000"/>
          <w:sz w:val="22"/>
          <w:szCs w:val="22"/>
        </w:rPr>
        <w:t xml:space="preserve"> это самый простой и логичный первый шаг для международного сотрудничества. Нам очень важно еще сделать домашнюю работу. Я бы предложила расширить перечень практического сотрудничества и лично</w:t>
      </w:r>
      <w:r>
        <w:rPr>
          <w:rFonts w:eastAsia="Arial" w:cs="Arial"/>
          <w:color w:val="000000"/>
          <w:sz w:val="22"/>
          <w:szCs w:val="22"/>
        </w:rPr>
        <w:t xml:space="preserve"> готова </w:t>
      </w:r>
      <w:r>
        <w:rPr>
          <w:rFonts w:eastAsia="Arial" w:cs="Arial"/>
          <w:sz w:val="22"/>
          <w:szCs w:val="22"/>
        </w:rPr>
        <w:t xml:space="preserve">принять участие </w:t>
      </w:r>
      <w:r>
        <w:rPr>
          <w:rFonts w:eastAsia="Arial" w:cs="Arial"/>
          <w:color w:val="000000"/>
          <w:sz w:val="22"/>
          <w:szCs w:val="22"/>
        </w:rPr>
        <w:t>в этой работе.</w:t>
      </w:r>
    </w:p>
    <w:p w14:paraId="0000000C" w14:textId="77777777" w:rsidR="002D226B" w:rsidRDefault="002D2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eastAsia="Arial" w:cs="Arial"/>
          <w:sz w:val="22"/>
          <w:szCs w:val="22"/>
        </w:rPr>
      </w:pPr>
    </w:p>
    <w:sectPr w:rsidR="002D226B">
      <w:headerReference w:type="even" r:id="rId7"/>
      <w:headerReference w:type="default" r:id="rId8"/>
      <w:pgSz w:w="11906" w:h="16838"/>
      <w:pgMar w:top="851" w:right="567" w:bottom="794" w:left="119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E86B" w14:textId="77777777" w:rsidR="00B4149E" w:rsidRDefault="00B4149E">
      <w:pPr>
        <w:spacing w:line="240" w:lineRule="auto"/>
        <w:ind w:left="0" w:hanging="2"/>
      </w:pPr>
      <w:r>
        <w:separator/>
      </w:r>
    </w:p>
  </w:endnote>
  <w:endnote w:type="continuationSeparator" w:id="0">
    <w:p w14:paraId="77E176B3" w14:textId="77777777" w:rsidR="00B4149E" w:rsidRDefault="00B414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9DE" w14:textId="77777777" w:rsidR="00B4149E" w:rsidRDefault="00B4149E">
      <w:pPr>
        <w:spacing w:line="240" w:lineRule="auto"/>
        <w:ind w:left="0" w:hanging="2"/>
      </w:pPr>
      <w:r>
        <w:separator/>
      </w:r>
    </w:p>
  </w:footnote>
  <w:footnote w:type="continuationSeparator" w:id="0">
    <w:p w14:paraId="06A1CAC1" w14:textId="77777777" w:rsidR="00B4149E" w:rsidRDefault="00B414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2D226B" w:rsidRDefault="00B41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color w:val="000000"/>
      </w:rPr>
      <w:fldChar w:fldCharType="end"/>
    </w:r>
  </w:p>
  <w:p w14:paraId="00000010" w14:textId="77777777" w:rsidR="002D226B" w:rsidRDefault="002D22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6E09D807" w:rsidR="002D226B" w:rsidRDefault="00B41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980809">
      <w:rPr>
        <w:rFonts w:eastAsia="Arial" w:cs="Arial"/>
        <w:noProof/>
        <w:color w:val="000000"/>
      </w:rPr>
      <w:t>2</w:t>
    </w:r>
    <w:r>
      <w:rPr>
        <w:rFonts w:eastAsia="Arial" w:cs="Arial"/>
        <w:color w:val="000000"/>
      </w:rPr>
      <w:fldChar w:fldCharType="end"/>
    </w:r>
  </w:p>
  <w:p w14:paraId="0000000E" w14:textId="77777777" w:rsidR="002D226B" w:rsidRDefault="002D22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6B"/>
    <w:rsid w:val="002D226B"/>
    <w:rsid w:val="00980809"/>
    <w:rsid w:val="00B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FE483-732C-4E0F-9B1A-213704AE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  <w:ind w:leftChars="-1" w:left="-1" w:hangingChars="1" w:firstLine="709"/>
      <w:jc w:val="both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40" w:lineRule="auto"/>
      <w:ind w:firstLine="0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240" w:lineRule="auto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Обычный (веб)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character" w:customStyle="1" w:styleId="article141">
    <w:name w:val="article_141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20">
    <w:name w:val="Body Text Indent 2"/>
    <w:basedOn w:val="a"/>
    <w:rPr>
      <w:b/>
      <w:bCs/>
    </w:rPr>
  </w:style>
  <w:style w:type="paragraph" w:styleId="30">
    <w:name w:val="Body Text Indent 3"/>
    <w:basedOn w:val="a"/>
    <w:rPr>
      <w:sz w:val="28"/>
    </w:rPr>
  </w:style>
  <w:style w:type="paragraph" w:styleId="a9">
    <w:name w:val="Body Text"/>
    <w:basedOn w:val="a"/>
    <w:pPr>
      <w:spacing w:line="240" w:lineRule="auto"/>
      <w:ind w:firstLine="0"/>
    </w:pPr>
  </w:style>
  <w:style w:type="character" w:styleId="aa">
    <w:name w:val="Hyperlink"/>
    <w:rPr>
      <w:color w:val="0857A6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pPr>
      <w:ind w:firstLine="0"/>
    </w:pPr>
    <w:rPr>
      <w:rFonts w:ascii="Times New Roman" w:hAnsi="Times New Roman"/>
      <w:b/>
      <w:bCs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spacing w:line="240" w:lineRule="auto"/>
      <w:ind w:firstLine="0"/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spacing w:line="240" w:lineRule="auto"/>
      <w:ind w:firstLine="0"/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auth">
    <w:name w:val="auth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pseudo-link23">
    <w:name w:val="b-pseudo-link23"/>
    <w:rPr>
      <w:color w:val="1A3DC1"/>
      <w:w w:val="100"/>
      <w:position w:val="-1"/>
      <w:effect w:val="none"/>
      <w:vertAlign w:val="baseline"/>
      <w:cs w:val="0"/>
      <w:em w:val="none"/>
    </w:rPr>
  </w:style>
  <w:style w:type="character" w:customStyle="1" w:styleId="to3">
    <w:name w:val="to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name">
    <w:name w:val="b-message-head__contact-na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email1">
    <w:name w:val="b-message-head__contact-email1"/>
    <w:rPr>
      <w:color w:val="999999"/>
      <w:w w:val="100"/>
      <w:position w:val="-1"/>
      <w:effect w:val="none"/>
      <w:vertAlign w:val="baseline"/>
      <w:cs w:val="0"/>
      <w:em w:val="none"/>
    </w:rPr>
  </w:style>
  <w:style w:type="character" w:customStyle="1" w:styleId="b-pseudo-link7">
    <w:name w:val="b-pseudo-link7"/>
    <w:rPr>
      <w:color w:val="1A3DC1"/>
      <w:w w:val="100"/>
      <w:position w:val="-1"/>
      <w:effect w:val="none"/>
      <w:vertAlign w:val="baseline"/>
      <w:cs w:val="0"/>
      <w:em w:val="none"/>
    </w:rPr>
  </w:style>
  <w:style w:type="character" w:customStyle="1" w:styleId="b-dropdownarrow3">
    <w:name w:val="b-dropdown__arrow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pseudo-linkb-pseudo-linkblackb-message-headcontact-more">
    <w:name w:val="b-pseudo-link b-pseudo-link_black b-message-head__contact-mor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essage-headcontact-other2">
    <w:name w:val="b-message-head__contact-other2"/>
    <w:rPr>
      <w:vanish/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yle13327817850000000492msonormal">
    <w:name w:val="style_13327817850000000492msonormal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viewmessagebodymsonormal">
    <w:name w:val="viewmessagebodymsonormal"/>
    <w:basedOn w:val="a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0tLP5rNE32th3bKPd6KTsIP4g==">CgMxLjA4AHIhMWtkTW9qaWcyY2NfZ0pwZzNvdEdMSFd0ZkFoNUhvMFY0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КСП ИЦАЭ</cp:lastModifiedBy>
  <cp:revision>2</cp:revision>
  <dcterms:created xsi:type="dcterms:W3CDTF">2023-06-02T16:02:00Z</dcterms:created>
  <dcterms:modified xsi:type="dcterms:W3CDTF">2023-06-02T16:02:00Z</dcterms:modified>
</cp:coreProperties>
</file>