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84" w:rsidRDefault="0058684C" w:rsidP="00725D84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2238375" cy="2238375"/>
            <wp:effectExtent l="0" t="0" r="0" b="0"/>
            <wp:docPr id="1" name="Рисунок 1" descr="C:\!!!!!!СПРАВКИ О ПРОЕКТАХ_2020\Шапки релизов с новым лого\АО%20ИК%20АСЭ%20(с)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!!!!!СПРАВКИ О ПРОЕКТАХ_2020\Шапки релизов с новым лого\АО%20ИК%20АСЭ%20(с)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52" cy="22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D84" w:rsidRPr="00725D8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25D84" w:rsidRPr="00725D84" w:rsidRDefault="00725D84" w:rsidP="00725D84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25D84">
        <w:rPr>
          <w:rFonts w:ascii="Times New Roman" w:hAnsi="Times New Roman"/>
          <w:b/>
          <w:color w:val="000000"/>
          <w:sz w:val="24"/>
          <w:szCs w:val="24"/>
          <w:lang w:val="ru-RU"/>
        </w:rPr>
        <w:t>Инжиниринговый дивизион Госкорпорации «Росатом»</w:t>
      </w:r>
    </w:p>
    <w:p w:rsidR="00725D84" w:rsidRPr="00725D84" w:rsidRDefault="00725D84" w:rsidP="00725D8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725D84" w:rsidRPr="00725D84" w:rsidRDefault="00725D84" w:rsidP="00725D8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725D84">
        <w:rPr>
          <w:rFonts w:ascii="Times New Roman" w:hAnsi="Times New Roman"/>
          <w:b/>
          <w:iCs/>
          <w:sz w:val="28"/>
          <w:szCs w:val="28"/>
          <w:lang w:val="ru-RU"/>
        </w:rPr>
        <w:t>19.05.2023</w:t>
      </w:r>
    </w:p>
    <w:p w:rsidR="00725D84" w:rsidRPr="00725D84" w:rsidRDefault="00725D84" w:rsidP="00725D8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725D84" w:rsidRPr="006B0518" w:rsidRDefault="00725D84" w:rsidP="00725D84">
      <w:pPr>
        <w:pStyle w:val="p1"/>
        <w:spacing w:before="0" w:beforeAutospacing="0" w:after="0" w:afterAutospacing="0"/>
        <w:jc w:val="both"/>
        <w:rPr>
          <w:rStyle w:val="s1"/>
          <w:b/>
          <w:sz w:val="28"/>
          <w:szCs w:val="28"/>
        </w:rPr>
      </w:pPr>
      <w:r w:rsidRPr="006B0518">
        <w:rPr>
          <w:rStyle w:val="s1"/>
          <w:b/>
          <w:sz w:val="28"/>
          <w:szCs w:val="28"/>
        </w:rPr>
        <w:t xml:space="preserve">На энергоблоке №7 </w:t>
      </w:r>
      <w:r w:rsidR="00B67972" w:rsidRPr="00B67972">
        <w:rPr>
          <w:rStyle w:val="s1"/>
          <w:b/>
          <w:sz w:val="28"/>
          <w:szCs w:val="28"/>
        </w:rPr>
        <w:t>АЭС «</w:t>
      </w:r>
      <w:proofErr w:type="spellStart"/>
      <w:r w:rsidR="00B67972" w:rsidRPr="00B67972">
        <w:rPr>
          <w:rStyle w:val="s1"/>
          <w:b/>
          <w:sz w:val="28"/>
          <w:szCs w:val="28"/>
        </w:rPr>
        <w:t>Тяньвань</w:t>
      </w:r>
      <w:proofErr w:type="spellEnd"/>
      <w:r w:rsidR="00B67972" w:rsidRPr="00B67972">
        <w:rPr>
          <w:rStyle w:val="s1"/>
          <w:b/>
          <w:sz w:val="28"/>
          <w:szCs w:val="28"/>
        </w:rPr>
        <w:t xml:space="preserve">» </w:t>
      </w:r>
      <w:r>
        <w:rPr>
          <w:rStyle w:val="s1"/>
          <w:b/>
          <w:sz w:val="28"/>
          <w:szCs w:val="28"/>
        </w:rPr>
        <w:t xml:space="preserve">осуществлен подъем </w:t>
      </w:r>
      <w:r w:rsidRPr="00136787">
        <w:rPr>
          <w:rStyle w:val="s1"/>
          <w:b/>
          <w:sz w:val="28"/>
          <w:szCs w:val="28"/>
        </w:rPr>
        <w:t>нижнего яруса</w:t>
      </w:r>
      <w:r w:rsidRPr="006B0518">
        <w:rPr>
          <w:rStyle w:val="s1"/>
          <w:b/>
          <w:sz w:val="28"/>
          <w:szCs w:val="28"/>
        </w:rPr>
        <w:t xml:space="preserve"> купола внутренней защитной оболочки здания реактора</w:t>
      </w:r>
    </w:p>
    <w:p w:rsidR="00725D84" w:rsidRDefault="00725D84" w:rsidP="00725D84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725D84" w:rsidRDefault="00725D84" w:rsidP="00725D84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CE65A9">
        <w:rPr>
          <w:rStyle w:val="s1"/>
          <w:sz w:val="28"/>
          <w:szCs w:val="28"/>
        </w:rPr>
        <w:t>На энергоблок</w:t>
      </w:r>
      <w:r>
        <w:rPr>
          <w:rStyle w:val="s1"/>
          <w:sz w:val="28"/>
          <w:szCs w:val="28"/>
        </w:rPr>
        <w:t>е</w:t>
      </w:r>
      <w:r w:rsidRPr="00CE65A9">
        <w:rPr>
          <w:rStyle w:val="s1"/>
          <w:sz w:val="28"/>
          <w:szCs w:val="28"/>
        </w:rPr>
        <w:t xml:space="preserve"> № 7 </w:t>
      </w:r>
      <w:r w:rsidR="00B67972" w:rsidRPr="00B67972">
        <w:rPr>
          <w:rStyle w:val="s1"/>
          <w:sz w:val="28"/>
          <w:szCs w:val="28"/>
        </w:rPr>
        <w:t>АЭС «</w:t>
      </w:r>
      <w:proofErr w:type="spellStart"/>
      <w:r w:rsidR="00B67972" w:rsidRPr="00B67972">
        <w:rPr>
          <w:rStyle w:val="s1"/>
          <w:sz w:val="28"/>
          <w:szCs w:val="28"/>
        </w:rPr>
        <w:t>Тяньвань</w:t>
      </w:r>
      <w:proofErr w:type="spellEnd"/>
      <w:r w:rsidR="00B67972" w:rsidRPr="00B67972">
        <w:rPr>
          <w:rStyle w:val="s1"/>
          <w:sz w:val="28"/>
          <w:szCs w:val="28"/>
        </w:rPr>
        <w:t>»</w:t>
      </w:r>
      <w:r w:rsidRPr="00CE65A9">
        <w:rPr>
          <w:rStyle w:val="s1"/>
          <w:sz w:val="28"/>
          <w:szCs w:val="28"/>
        </w:rPr>
        <w:t>, сооружа</w:t>
      </w:r>
      <w:r>
        <w:rPr>
          <w:rStyle w:val="s1"/>
          <w:sz w:val="28"/>
          <w:szCs w:val="28"/>
        </w:rPr>
        <w:t>емого</w:t>
      </w:r>
      <w:r w:rsidRPr="00CE65A9">
        <w:rPr>
          <w:rStyle w:val="s1"/>
          <w:sz w:val="28"/>
          <w:szCs w:val="28"/>
        </w:rPr>
        <w:t xml:space="preserve"> в Китае при участии Инжинирингового дивизиона </w:t>
      </w:r>
      <w:proofErr w:type="spellStart"/>
      <w:r w:rsidRPr="00CE65A9">
        <w:rPr>
          <w:rStyle w:val="s1"/>
          <w:sz w:val="28"/>
          <w:szCs w:val="28"/>
        </w:rPr>
        <w:t>Росатома</w:t>
      </w:r>
      <w:proofErr w:type="spellEnd"/>
      <w:r w:rsidRPr="00CE65A9">
        <w:rPr>
          <w:rStyle w:val="s1"/>
          <w:sz w:val="28"/>
          <w:szCs w:val="28"/>
        </w:rPr>
        <w:t xml:space="preserve">, </w:t>
      </w:r>
      <w:r>
        <w:rPr>
          <w:rStyle w:val="s1"/>
          <w:sz w:val="28"/>
          <w:szCs w:val="28"/>
        </w:rPr>
        <w:t xml:space="preserve">осуществлен подъем </w:t>
      </w:r>
      <w:r w:rsidRPr="00136787">
        <w:rPr>
          <w:rStyle w:val="s1"/>
          <w:sz w:val="28"/>
          <w:szCs w:val="28"/>
        </w:rPr>
        <w:t>нижнего яруса герметичной облицовки</w:t>
      </w:r>
      <w:r w:rsidRPr="00CE65A9">
        <w:rPr>
          <w:rStyle w:val="s1"/>
          <w:sz w:val="28"/>
          <w:szCs w:val="28"/>
        </w:rPr>
        <w:t xml:space="preserve"> купола внутренней защитной оболочки здания реактора</w:t>
      </w:r>
      <w:r>
        <w:rPr>
          <w:rStyle w:val="s1"/>
          <w:sz w:val="28"/>
          <w:szCs w:val="28"/>
        </w:rPr>
        <w:t>.</w:t>
      </w:r>
    </w:p>
    <w:p w:rsidR="00725D84" w:rsidRDefault="00725D84" w:rsidP="00725D84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CE65A9">
        <w:rPr>
          <w:rStyle w:val="s1"/>
          <w:sz w:val="28"/>
          <w:szCs w:val="28"/>
        </w:rPr>
        <w:t xml:space="preserve">Крупногабаритная металлоконструкция диаметром </w:t>
      </w:r>
      <w:r w:rsidRPr="00136787">
        <w:rPr>
          <w:rStyle w:val="s1"/>
          <w:sz w:val="28"/>
          <w:szCs w:val="28"/>
        </w:rPr>
        <w:t>44</w:t>
      </w:r>
      <w:r w:rsidRPr="00CE65A9">
        <w:rPr>
          <w:rStyle w:val="s1"/>
          <w:sz w:val="28"/>
          <w:szCs w:val="28"/>
        </w:rPr>
        <w:t xml:space="preserve"> метра</w:t>
      </w:r>
      <w:r w:rsidR="00CA1368">
        <w:rPr>
          <w:rStyle w:val="s1"/>
          <w:sz w:val="28"/>
          <w:szCs w:val="28"/>
        </w:rPr>
        <w:t xml:space="preserve"> </w:t>
      </w:r>
      <w:r w:rsidR="00CA1368" w:rsidRPr="00F74F5F">
        <w:rPr>
          <w:rStyle w:val="s1"/>
          <w:sz w:val="28"/>
          <w:szCs w:val="28"/>
        </w:rPr>
        <w:t>и массой 391 тонна</w:t>
      </w:r>
      <w:r w:rsidRPr="00F74F5F">
        <w:rPr>
          <w:rStyle w:val="s1"/>
          <w:sz w:val="28"/>
          <w:szCs w:val="28"/>
        </w:rPr>
        <w:t xml:space="preserve"> </w:t>
      </w:r>
      <w:r w:rsidRPr="00CE65A9">
        <w:rPr>
          <w:rStyle w:val="s1"/>
          <w:sz w:val="28"/>
          <w:szCs w:val="28"/>
        </w:rPr>
        <w:t xml:space="preserve">установлена на штатное место на цилиндрическую часть </w:t>
      </w:r>
      <w:proofErr w:type="spellStart"/>
      <w:r w:rsidRPr="00CE65A9">
        <w:rPr>
          <w:rStyle w:val="s1"/>
          <w:sz w:val="28"/>
          <w:szCs w:val="28"/>
        </w:rPr>
        <w:t>гермооболочки</w:t>
      </w:r>
      <w:proofErr w:type="spellEnd"/>
      <w:r w:rsidRPr="00CE65A9">
        <w:rPr>
          <w:rStyle w:val="s1"/>
          <w:sz w:val="28"/>
          <w:szCs w:val="28"/>
        </w:rPr>
        <w:t xml:space="preserve"> здания реактора.</w:t>
      </w:r>
      <w:r w:rsidR="00CA1368">
        <w:rPr>
          <w:rStyle w:val="s1"/>
          <w:sz w:val="28"/>
          <w:szCs w:val="28"/>
        </w:rPr>
        <w:t xml:space="preserve"> </w:t>
      </w:r>
      <w:r w:rsidR="00CA1368" w:rsidRPr="00F74F5F">
        <w:rPr>
          <w:rStyle w:val="s1"/>
          <w:sz w:val="28"/>
          <w:szCs w:val="28"/>
        </w:rPr>
        <w:t xml:space="preserve">Для этого на стройплощадку доставили кран максимальной </w:t>
      </w:r>
      <w:proofErr w:type="spellStart"/>
      <w:r w:rsidR="00CA1368" w:rsidRPr="00F74F5F">
        <w:rPr>
          <w:rStyle w:val="s1"/>
          <w:sz w:val="28"/>
          <w:szCs w:val="28"/>
        </w:rPr>
        <w:t>грузоподьемностью</w:t>
      </w:r>
      <w:proofErr w:type="spellEnd"/>
      <w:r w:rsidR="00CA1368" w:rsidRPr="00F74F5F">
        <w:rPr>
          <w:rStyle w:val="s1"/>
          <w:sz w:val="28"/>
          <w:szCs w:val="28"/>
        </w:rPr>
        <w:t xml:space="preserve"> 2000 тонн.</w:t>
      </w:r>
    </w:p>
    <w:p w:rsidR="00725D84" w:rsidRPr="00136787" w:rsidRDefault="00725D84" w:rsidP="00725D84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136787">
        <w:rPr>
          <w:rStyle w:val="s1"/>
          <w:sz w:val="28"/>
          <w:szCs w:val="28"/>
        </w:rPr>
        <w:t>На следующем этапе предполагается завершить монтажные работы по сборке верхнего яруса герметичной облицовки и монтажу на нем необходимого оборудования и трубопроводов</w:t>
      </w:r>
      <w:r w:rsidR="00CA1368">
        <w:rPr>
          <w:rStyle w:val="s1"/>
          <w:sz w:val="28"/>
          <w:szCs w:val="28"/>
        </w:rPr>
        <w:t xml:space="preserve"> </w:t>
      </w:r>
      <w:r w:rsidR="00CA1368" w:rsidRPr="00F74F5F">
        <w:rPr>
          <w:rStyle w:val="s1"/>
          <w:sz w:val="28"/>
          <w:szCs w:val="28"/>
        </w:rPr>
        <w:t>общей массой 214 тонн</w:t>
      </w:r>
      <w:r w:rsidRPr="00136787">
        <w:rPr>
          <w:rStyle w:val="s1"/>
          <w:sz w:val="28"/>
          <w:szCs w:val="28"/>
        </w:rPr>
        <w:t xml:space="preserve">. С выполнением этого этапа открывается этап ключевых монтажных работ внутри здания реактора по всем частям проекта, </w:t>
      </w:r>
      <w:r>
        <w:rPr>
          <w:rStyle w:val="s1"/>
          <w:sz w:val="28"/>
          <w:szCs w:val="28"/>
        </w:rPr>
        <w:t xml:space="preserve">включая </w:t>
      </w:r>
      <w:r w:rsidRPr="00136787">
        <w:rPr>
          <w:rStyle w:val="s1"/>
          <w:sz w:val="28"/>
          <w:szCs w:val="28"/>
        </w:rPr>
        <w:t>монтаж корпуса реактора, парогенераторов, гидро</w:t>
      </w:r>
      <w:r>
        <w:rPr>
          <w:rStyle w:val="s1"/>
          <w:sz w:val="28"/>
          <w:szCs w:val="28"/>
        </w:rPr>
        <w:t>е</w:t>
      </w:r>
      <w:r w:rsidRPr="00136787">
        <w:rPr>
          <w:rStyle w:val="s1"/>
          <w:sz w:val="28"/>
          <w:szCs w:val="28"/>
        </w:rPr>
        <w:t xml:space="preserve">мкостей </w:t>
      </w:r>
      <w:r>
        <w:rPr>
          <w:rStyle w:val="s1"/>
          <w:sz w:val="28"/>
          <w:szCs w:val="28"/>
        </w:rPr>
        <w:t>системы аварийного охлаждения активной зоны</w:t>
      </w:r>
      <w:r w:rsidRPr="00136787">
        <w:rPr>
          <w:rStyle w:val="s1"/>
          <w:sz w:val="28"/>
          <w:szCs w:val="28"/>
        </w:rPr>
        <w:t xml:space="preserve">, компенсатора давления, </w:t>
      </w:r>
      <w:r w:rsidRPr="00F74F5F">
        <w:rPr>
          <w:rStyle w:val="s1"/>
          <w:sz w:val="28"/>
          <w:szCs w:val="28"/>
        </w:rPr>
        <w:t>главн</w:t>
      </w:r>
      <w:r w:rsidR="00CA1368" w:rsidRPr="00F74F5F">
        <w:rPr>
          <w:rStyle w:val="s1"/>
          <w:sz w:val="28"/>
          <w:szCs w:val="28"/>
        </w:rPr>
        <w:t>ых</w:t>
      </w:r>
      <w:r w:rsidRPr="00F74F5F">
        <w:rPr>
          <w:rStyle w:val="s1"/>
          <w:sz w:val="28"/>
          <w:szCs w:val="28"/>
        </w:rPr>
        <w:t xml:space="preserve"> циркуляционн</w:t>
      </w:r>
      <w:r w:rsidR="00CA1368" w:rsidRPr="00F74F5F">
        <w:rPr>
          <w:rStyle w:val="s1"/>
          <w:sz w:val="28"/>
          <w:szCs w:val="28"/>
        </w:rPr>
        <w:t>ых</w:t>
      </w:r>
      <w:r w:rsidRPr="00F74F5F">
        <w:rPr>
          <w:rStyle w:val="s1"/>
          <w:sz w:val="28"/>
          <w:szCs w:val="28"/>
        </w:rPr>
        <w:t xml:space="preserve"> насос</w:t>
      </w:r>
      <w:r w:rsidR="00CA1368" w:rsidRPr="00F74F5F">
        <w:rPr>
          <w:rStyle w:val="s1"/>
          <w:sz w:val="28"/>
          <w:szCs w:val="28"/>
        </w:rPr>
        <w:t>ов</w:t>
      </w:r>
      <w:r w:rsidRPr="00F74F5F">
        <w:rPr>
          <w:rStyle w:val="s1"/>
          <w:sz w:val="28"/>
          <w:szCs w:val="28"/>
        </w:rPr>
        <w:t xml:space="preserve"> </w:t>
      </w:r>
      <w:r w:rsidRPr="00136787">
        <w:rPr>
          <w:rStyle w:val="s1"/>
          <w:sz w:val="28"/>
          <w:szCs w:val="28"/>
        </w:rPr>
        <w:t>и другого оборудования, а также проведение сварки главного циркуляционного трубопровода.</w:t>
      </w:r>
    </w:p>
    <w:p w:rsidR="00725D84" w:rsidRDefault="00725D84" w:rsidP="00725D84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F74F5F">
        <w:rPr>
          <w:rStyle w:val="s1"/>
          <w:sz w:val="28"/>
          <w:szCs w:val="28"/>
        </w:rPr>
        <w:t>«</w:t>
      </w:r>
      <w:r w:rsidR="00F74F5F" w:rsidRPr="00F74F5F">
        <w:rPr>
          <w:rStyle w:val="s1"/>
          <w:sz w:val="28"/>
          <w:szCs w:val="28"/>
        </w:rPr>
        <w:t xml:space="preserve">Сегодня исполняется два года с момента, когда руководители двух стран – Владимир Путин и Си </w:t>
      </w:r>
      <w:proofErr w:type="spellStart"/>
      <w:r w:rsidR="00F74F5F" w:rsidRPr="00F74F5F">
        <w:rPr>
          <w:rStyle w:val="s1"/>
          <w:sz w:val="28"/>
          <w:szCs w:val="28"/>
        </w:rPr>
        <w:t>Цзинпин</w:t>
      </w:r>
      <w:proofErr w:type="spellEnd"/>
      <w:r w:rsidR="00F74F5F" w:rsidRPr="00F74F5F">
        <w:rPr>
          <w:rStyle w:val="s1"/>
          <w:sz w:val="28"/>
          <w:szCs w:val="28"/>
        </w:rPr>
        <w:t xml:space="preserve"> – в </w:t>
      </w:r>
      <w:proofErr w:type="spellStart"/>
      <w:r w:rsidR="00F74F5F" w:rsidRPr="00F74F5F">
        <w:rPr>
          <w:rStyle w:val="s1"/>
          <w:sz w:val="28"/>
          <w:szCs w:val="28"/>
        </w:rPr>
        <w:t>видеоформате</w:t>
      </w:r>
      <w:proofErr w:type="spellEnd"/>
      <w:r w:rsidR="00F74F5F" w:rsidRPr="00F74F5F">
        <w:rPr>
          <w:rStyle w:val="s1"/>
          <w:sz w:val="28"/>
          <w:szCs w:val="28"/>
        </w:rPr>
        <w:t xml:space="preserve"> приняли участие в </w:t>
      </w:r>
      <w:r w:rsidR="006E2888">
        <w:rPr>
          <w:rStyle w:val="s1"/>
          <w:sz w:val="28"/>
          <w:szCs w:val="28"/>
        </w:rPr>
        <w:t xml:space="preserve">церемонии </w:t>
      </w:r>
      <w:r w:rsidR="00F74F5F" w:rsidRPr="00F74F5F">
        <w:rPr>
          <w:rStyle w:val="s1"/>
          <w:sz w:val="28"/>
          <w:szCs w:val="28"/>
        </w:rPr>
        <w:t>начал</w:t>
      </w:r>
      <w:r w:rsidR="006E2888">
        <w:rPr>
          <w:rStyle w:val="s1"/>
          <w:sz w:val="28"/>
          <w:szCs w:val="28"/>
        </w:rPr>
        <w:t>а</w:t>
      </w:r>
      <w:r w:rsidR="00F74F5F" w:rsidRPr="00F74F5F">
        <w:rPr>
          <w:rStyle w:val="s1"/>
          <w:sz w:val="28"/>
          <w:szCs w:val="28"/>
        </w:rPr>
        <w:t xml:space="preserve"> заливки 1-го бетона в фундаментную плиту реакторного отделения блока 7, знаменующ</w:t>
      </w:r>
      <w:r w:rsidR="005A3155">
        <w:rPr>
          <w:rStyle w:val="s1"/>
          <w:sz w:val="28"/>
          <w:szCs w:val="28"/>
        </w:rPr>
        <w:t>ую</w:t>
      </w:r>
      <w:r w:rsidR="00F74F5F" w:rsidRPr="00F74F5F">
        <w:rPr>
          <w:rStyle w:val="s1"/>
          <w:sz w:val="28"/>
          <w:szCs w:val="28"/>
        </w:rPr>
        <w:t xml:space="preserve"> начало строительства 4-й очереди </w:t>
      </w:r>
      <w:r w:rsidR="00B67972" w:rsidRPr="00B67972">
        <w:rPr>
          <w:rStyle w:val="s1"/>
          <w:sz w:val="28"/>
          <w:szCs w:val="28"/>
        </w:rPr>
        <w:t>АЭС «</w:t>
      </w:r>
      <w:proofErr w:type="spellStart"/>
      <w:r w:rsidR="00B67972" w:rsidRPr="00B67972">
        <w:rPr>
          <w:rStyle w:val="s1"/>
          <w:sz w:val="28"/>
          <w:szCs w:val="28"/>
        </w:rPr>
        <w:t>Тяньвань</w:t>
      </w:r>
      <w:proofErr w:type="spellEnd"/>
      <w:r w:rsidR="00B67972" w:rsidRPr="00B67972">
        <w:rPr>
          <w:rStyle w:val="s1"/>
          <w:sz w:val="28"/>
          <w:szCs w:val="28"/>
        </w:rPr>
        <w:t>»</w:t>
      </w:r>
      <w:r w:rsidR="00F74F5F" w:rsidRPr="00F74F5F">
        <w:rPr>
          <w:rStyle w:val="s1"/>
          <w:sz w:val="28"/>
          <w:szCs w:val="28"/>
        </w:rPr>
        <w:t xml:space="preserve">. </w:t>
      </w:r>
      <w:r w:rsidR="00DF5BD6">
        <w:rPr>
          <w:rStyle w:val="s1"/>
          <w:sz w:val="28"/>
          <w:szCs w:val="28"/>
        </w:rPr>
        <w:t>Это</w:t>
      </w:r>
      <w:r w:rsidR="005A3155">
        <w:rPr>
          <w:rStyle w:val="s1"/>
          <w:sz w:val="28"/>
          <w:szCs w:val="28"/>
        </w:rPr>
        <w:t>т</w:t>
      </w:r>
      <w:r w:rsidR="00DF5BD6">
        <w:rPr>
          <w:rStyle w:val="s1"/>
          <w:sz w:val="28"/>
          <w:szCs w:val="28"/>
        </w:rPr>
        <w:t xml:space="preserve"> проект</w:t>
      </w:r>
      <w:r w:rsidR="00F74F5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– показательный пример успешного сотрудничества между Россией и Китаем. На протяжении нескольких десятилетий специалисты наших стран совместно возводя</w:t>
      </w:r>
      <w:r w:rsidR="005A3155">
        <w:rPr>
          <w:rStyle w:val="s1"/>
          <w:sz w:val="28"/>
          <w:szCs w:val="28"/>
        </w:rPr>
        <w:t>т</w:t>
      </w:r>
      <w:r>
        <w:rPr>
          <w:rStyle w:val="s1"/>
          <w:sz w:val="28"/>
          <w:szCs w:val="28"/>
        </w:rPr>
        <w:t xml:space="preserve"> новейшие энергоблоки АЭС, совершенствуя и оптимизируя</w:t>
      </w:r>
      <w:r w:rsidR="006E2888">
        <w:rPr>
          <w:rStyle w:val="s1"/>
          <w:sz w:val="28"/>
          <w:szCs w:val="28"/>
        </w:rPr>
        <w:t xml:space="preserve"> производственные процессы</w:t>
      </w:r>
      <w:r>
        <w:rPr>
          <w:rStyle w:val="s1"/>
          <w:sz w:val="28"/>
          <w:szCs w:val="28"/>
        </w:rPr>
        <w:t>, уверенно шагая в направлении технологического суверенитет</w:t>
      </w:r>
      <w:r w:rsidR="006E2888">
        <w:rPr>
          <w:rStyle w:val="s1"/>
          <w:sz w:val="28"/>
          <w:szCs w:val="28"/>
        </w:rPr>
        <w:t>а</w:t>
      </w:r>
      <w:r>
        <w:rPr>
          <w:rStyle w:val="s1"/>
          <w:sz w:val="28"/>
          <w:szCs w:val="28"/>
        </w:rPr>
        <w:t xml:space="preserve">», – отметил </w:t>
      </w:r>
      <w:r w:rsidRPr="00F55662">
        <w:rPr>
          <w:sz w:val="28"/>
          <w:szCs w:val="28"/>
          <w:lang w:eastAsia="en-US"/>
        </w:rPr>
        <w:t>вице-президент по проектам в Китае и перспективным проектам АО «</w:t>
      </w:r>
      <w:r>
        <w:rPr>
          <w:sz w:val="28"/>
          <w:szCs w:val="28"/>
          <w:lang w:eastAsia="en-US"/>
        </w:rPr>
        <w:t>Атомстройэкспорт»</w:t>
      </w:r>
      <w:r w:rsidRPr="00F55662">
        <w:rPr>
          <w:sz w:val="28"/>
          <w:szCs w:val="28"/>
          <w:lang w:eastAsia="en-US"/>
        </w:rPr>
        <w:t xml:space="preserve"> Алексей Банник.</w:t>
      </w:r>
    </w:p>
    <w:p w:rsidR="00725D84" w:rsidRDefault="00725D84" w:rsidP="00725D84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  <w:highlight w:val="green"/>
        </w:rPr>
      </w:pPr>
      <w:r w:rsidRPr="00136787">
        <w:rPr>
          <w:rStyle w:val="s1"/>
          <w:sz w:val="28"/>
          <w:szCs w:val="28"/>
        </w:rPr>
        <w:t xml:space="preserve">Здание реактора является основным зданием АЭС, где размещается ядерная </w:t>
      </w:r>
      <w:proofErr w:type="spellStart"/>
      <w:r w:rsidRPr="00136787">
        <w:rPr>
          <w:rStyle w:val="s1"/>
          <w:sz w:val="28"/>
          <w:szCs w:val="28"/>
        </w:rPr>
        <w:t>паропроизводящая</w:t>
      </w:r>
      <w:proofErr w:type="spellEnd"/>
      <w:r w:rsidRPr="00136787">
        <w:rPr>
          <w:rStyle w:val="s1"/>
          <w:sz w:val="28"/>
          <w:szCs w:val="28"/>
        </w:rPr>
        <w:t xml:space="preserve"> установка и системы е</w:t>
      </w:r>
      <w:r>
        <w:rPr>
          <w:rStyle w:val="s1"/>
          <w:sz w:val="28"/>
          <w:szCs w:val="28"/>
        </w:rPr>
        <w:t>е</w:t>
      </w:r>
      <w:r w:rsidRPr="00136787">
        <w:rPr>
          <w:rStyle w:val="s1"/>
          <w:sz w:val="28"/>
          <w:szCs w:val="28"/>
        </w:rPr>
        <w:t xml:space="preserve"> аварийного расхолаживания. Применение в проекте двойной защитной оболочки обеспечивает максимальное </w:t>
      </w:r>
      <w:r w:rsidRPr="00136787">
        <w:rPr>
          <w:rStyle w:val="s1"/>
          <w:sz w:val="28"/>
          <w:szCs w:val="28"/>
        </w:rPr>
        <w:lastRenderedPageBreak/>
        <w:t xml:space="preserve">исключение влияния аварийных выбросов радиоактивных продуктов в окружающую среду. </w:t>
      </w:r>
      <w:r>
        <w:rPr>
          <w:rStyle w:val="s2"/>
          <w:sz w:val="28"/>
          <w:szCs w:val="28"/>
        </w:rPr>
        <w:t>Эта</w:t>
      </w:r>
      <w:r w:rsidRPr="00CE65A9">
        <w:rPr>
          <w:rStyle w:val="s2"/>
          <w:sz w:val="28"/>
          <w:szCs w:val="28"/>
        </w:rPr>
        <w:t xml:space="preserve"> железобетонная конструкция, защищающая реакторную установку от внешних воздействий и способная выдержать землетрясение, цунами или ураган.</w:t>
      </w:r>
    </w:p>
    <w:p w:rsidR="00725D84" w:rsidRPr="00136787" w:rsidRDefault="00725D84" w:rsidP="00725D84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136787">
        <w:rPr>
          <w:rStyle w:val="s1"/>
          <w:sz w:val="28"/>
          <w:szCs w:val="28"/>
        </w:rPr>
        <w:t xml:space="preserve">Внешняя оболочка служит физической защитой для внутренней оболочки от внешних воздействий. </w:t>
      </w:r>
    </w:p>
    <w:p w:rsidR="00725D84" w:rsidRDefault="00725D84" w:rsidP="00725D84">
      <w:pPr>
        <w:pStyle w:val="p1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136787">
        <w:rPr>
          <w:rStyle w:val="s1"/>
          <w:sz w:val="28"/>
          <w:szCs w:val="28"/>
        </w:rPr>
        <w:t>Внутренняя оболочка сооружается из предварительно напряженного железобетона, и состоит из цилиндрической части и полусферического купола. Внутренняя поверхность оболочки облицована металлом, этим обеспечивается герметичность внутреннего объёма при всех режимах работы АЭС, включая аварийные.</w:t>
      </w:r>
      <w:r>
        <w:rPr>
          <w:rStyle w:val="s1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В</w:t>
      </w:r>
      <w:r w:rsidRPr="00CE65A9">
        <w:rPr>
          <w:rStyle w:val="s2"/>
          <w:sz w:val="28"/>
          <w:szCs w:val="28"/>
        </w:rPr>
        <w:t>нутренняя защитная оболочка – одна из ключевых ло</w:t>
      </w:r>
      <w:r>
        <w:rPr>
          <w:rStyle w:val="s2"/>
          <w:sz w:val="28"/>
          <w:szCs w:val="28"/>
        </w:rPr>
        <w:t>кализующих систем безопасности.</w:t>
      </w:r>
    </w:p>
    <w:p w:rsidR="00725D84" w:rsidRDefault="00725D84" w:rsidP="00725D84">
      <w:pPr>
        <w:pStyle w:val="p1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CE65A9">
        <w:rPr>
          <w:rStyle w:val="s2"/>
          <w:sz w:val="28"/>
          <w:szCs w:val="28"/>
        </w:rPr>
        <w:t xml:space="preserve">Двойная защитная оболочка – отличительная особенность российского проекта энергоблоков с реакторами ВВЭР-1200, которая обеспечивает </w:t>
      </w:r>
      <w:r>
        <w:rPr>
          <w:rStyle w:val="s2"/>
          <w:sz w:val="28"/>
          <w:szCs w:val="28"/>
        </w:rPr>
        <w:t>высочайший уровень безопасности.</w:t>
      </w:r>
    </w:p>
    <w:p w:rsidR="00725D84" w:rsidRPr="00725D84" w:rsidRDefault="00725D84" w:rsidP="00725D84">
      <w:pPr>
        <w:jc w:val="both"/>
        <w:rPr>
          <w:rFonts w:ascii="Times New Roman" w:hAnsi="Times New Roman"/>
          <w:b/>
          <w:sz w:val="28"/>
          <w:szCs w:val="28"/>
          <w:lang w:val="ru-RU" w:eastAsia="en-US"/>
        </w:rPr>
      </w:pPr>
    </w:p>
    <w:p w:rsidR="00725D84" w:rsidRPr="00725D84" w:rsidRDefault="00725D84" w:rsidP="00725D84">
      <w:pPr>
        <w:jc w:val="both"/>
        <w:rPr>
          <w:rFonts w:ascii="Times New Roman" w:hAnsi="Times New Roman"/>
          <w:b/>
          <w:sz w:val="28"/>
          <w:szCs w:val="28"/>
          <w:lang w:val="ru-RU" w:eastAsia="en-US"/>
        </w:rPr>
      </w:pPr>
      <w:r w:rsidRPr="00725D84">
        <w:rPr>
          <w:rFonts w:ascii="Times New Roman" w:hAnsi="Times New Roman"/>
          <w:b/>
          <w:sz w:val="28"/>
          <w:szCs w:val="28"/>
          <w:lang w:val="ru-RU" w:eastAsia="en-US"/>
        </w:rPr>
        <w:t>Для справки:</w:t>
      </w:r>
    </w:p>
    <w:p w:rsidR="00725D84" w:rsidRPr="00725D84" w:rsidRDefault="00B67972" w:rsidP="00725D84">
      <w:pPr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B67972">
        <w:rPr>
          <w:rFonts w:ascii="Times New Roman" w:hAnsi="Times New Roman"/>
          <w:sz w:val="28"/>
          <w:szCs w:val="28"/>
          <w:lang w:val="ru-RU" w:eastAsia="en-US"/>
        </w:rPr>
        <w:t>АЭС «</w:t>
      </w:r>
      <w:proofErr w:type="spellStart"/>
      <w:r w:rsidRPr="00B67972">
        <w:rPr>
          <w:rFonts w:ascii="Times New Roman" w:hAnsi="Times New Roman"/>
          <w:sz w:val="28"/>
          <w:szCs w:val="28"/>
          <w:lang w:val="ru-RU" w:eastAsia="en-US"/>
        </w:rPr>
        <w:t>Тяньвань</w:t>
      </w:r>
      <w:proofErr w:type="spellEnd"/>
      <w:r w:rsidRPr="00B67972">
        <w:rPr>
          <w:rFonts w:ascii="Times New Roman" w:hAnsi="Times New Roman"/>
          <w:sz w:val="28"/>
          <w:szCs w:val="28"/>
          <w:lang w:val="ru-RU" w:eastAsia="en-US"/>
        </w:rPr>
        <w:t xml:space="preserve">» </w:t>
      </w:r>
      <w:r w:rsidR="00725D84" w:rsidRPr="00725D84">
        <w:rPr>
          <w:rFonts w:ascii="Times New Roman" w:hAnsi="Times New Roman"/>
          <w:sz w:val="28"/>
          <w:szCs w:val="28"/>
          <w:lang w:val="ru-RU" w:eastAsia="en-US"/>
        </w:rPr>
        <w:t xml:space="preserve">– самый крупный проект экономического сотрудничества между Россией и Китаем. В настоящее время сооружаются два энергоблока по российскому проекту с реакторной установкой ВВЭР-1200. Построенные ранее четыре блока российского проекта ВВЭР-1000 успешно работают и выдают в энергосистему страны миллионы киловатт энергии.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контракт был подписан Инжиниринговым дивизионом Госкорпорации «Росатом», с китайской — предприятиями корпорации </w:t>
      </w:r>
      <w:r w:rsidR="00725D84" w:rsidRPr="00F55662">
        <w:rPr>
          <w:rFonts w:ascii="Times New Roman" w:hAnsi="Times New Roman"/>
          <w:sz w:val="28"/>
          <w:szCs w:val="28"/>
          <w:lang w:eastAsia="en-US"/>
        </w:rPr>
        <w:t>CNNC</w:t>
      </w:r>
      <w:r w:rsidR="00725D84" w:rsidRPr="00725D84">
        <w:rPr>
          <w:rFonts w:ascii="Times New Roman" w:hAnsi="Times New Roman"/>
          <w:sz w:val="28"/>
          <w:szCs w:val="28"/>
          <w:lang w:val="ru-RU" w:eastAsia="en-US"/>
        </w:rPr>
        <w:t>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Также были подписаны следующие исполнительные контракты: конт</w:t>
      </w:r>
      <w:r w:rsidR="00F74F5F">
        <w:rPr>
          <w:rFonts w:ascii="Times New Roman" w:hAnsi="Times New Roman"/>
          <w:sz w:val="28"/>
          <w:szCs w:val="28"/>
          <w:lang w:val="ru-RU" w:eastAsia="en-US"/>
        </w:rPr>
        <w:t>р</w:t>
      </w:r>
      <w:r w:rsidR="00725D84" w:rsidRPr="00725D84">
        <w:rPr>
          <w:rFonts w:ascii="Times New Roman" w:hAnsi="Times New Roman"/>
          <w:sz w:val="28"/>
          <w:szCs w:val="28"/>
          <w:lang w:val="ru-RU" w:eastAsia="en-US"/>
        </w:rPr>
        <w:t xml:space="preserve">акт на технический проект для энергоблоков № 7 и №8; генеральный контракт для энергоблоков № 7 и № 8. В соответствии с подписанными контрактами, Инжиниринговый дивизион выполняет проектирование и поставку документации и оборудования для «ядерного острова» и предоставление сопутствующих услуг (авторский надзор, </w:t>
      </w:r>
      <w:proofErr w:type="gramStart"/>
      <w:r w:rsidR="00725D84" w:rsidRPr="00725D84">
        <w:rPr>
          <w:rFonts w:ascii="Times New Roman" w:hAnsi="Times New Roman"/>
          <w:sz w:val="28"/>
          <w:szCs w:val="28"/>
          <w:lang w:val="ru-RU" w:eastAsia="en-US"/>
        </w:rPr>
        <w:t>шеф-монтаж</w:t>
      </w:r>
      <w:proofErr w:type="gramEnd"/>
      <w:r w:rsidR="00725D84" w:rsidRPr="00725D84">
        <w:rPr>
          <w:rFonts w:ascii="Times New Roman" w:hAnsi="Times New Roman"/>
          <w:sz w:val="28"/>
          <w:szCs w:val="28"/>
          <w:lang w:val="ru-RU" w:eastAsia="en-US"/>
        </w:rPr>
        <w:t>, шеф-наладка). Работы по сооружению энергоблоков № 7 и № 8 начались 19 мая 2021 года.</w:t>
      </w:r>
    </w:p>
    <w:p w:rsidR="00725D84" w:rsidRPr="00725D84" w:rsidRDefault="00725D84" w:rsidP="00725D84">
      <w:pPr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725D84">
        <w:rPr>
          <w:rFonts w:ascii="Times New Roman" w:hAnsi="Times New Roman"/>
          <w:sz w:val="28"/>
          <w:szCs w:val="28"/>
          <w:lang w:val="ru-RU" w:eastAsia="en-US"/>
        </w:rPr>
        <w:t xml:space="preserve">Россия продолжает взаимовыгодное сотрудничество с дружественными странами. Продолжается реализация крупных проектов в сфере энергетики. Работа </w:t>
      </w:r>
      <w:proofErr w:type="spellStart"/>
      <w:r w:rsidRPr="00725D84">
        <w:rPr>
          <w:rFonts w:ascii="Times New Roman" w:hAnsi="Times New Roman"/>
          <w:sz w:val="28"/>
          <w:szCs w:val="28"/>
          <w:lang w:val="ru-RU" w:eastAsia="en-US"/>
        </w:rPr>
        <w:t>Росатома</w:t>
      </w:r>
      <w:proofErr w:type="spellEnd"/>
      <w:r w:rsidRPr="00725D84">
        <w:rPr>
          <w:rFonts w:ascii="Times New Roman" w:hAnsi="Times New Roman"/>
          <w:sz w:val="28"/>
          <w:szCs w:val="28"/>
          <w:lang w:val="ru-RU" w:eastAsia="en-US"/>
        </w:rPr>
        <w:t xml:space="preserve"> по проектам в Китае является примером конструктивного партнерства, открывающего новые перспективы в сфере </w:t>
      </w:r>
      <w:proofErr w:type="spellStart"/>
      <w:r w:rsidRPr="00725D84">
        <w:rPr>
          <w:rFonts w:ascii="Times New Roman" w:hAnsi="Times New Roman"/>
          <w:sz w:val="28"/>
          <w:szCs w:val="28"/>
          <w:lang w:val="ru-RU" w:eastAsia="en-US"/>
        </w:rPr>
        <w:t>низкоуглеродной</w:t>
      </w:r>
      <w:proofErr w:type="spellEnd"/>
      <w:r w:rsidRPr="00725D84">
        <w:rPr>
          <w:rFonts w:ascii="Times New Roman" w:hAnsi="Times New Roman"/>
          <w:sz w:val="28"/>
          <w:szCs w:val="28"/>
          <w:lang w:val="ru-RU" w:eastAsia="en-US"/>
        </w:rPr>
        <w:t xml:space="preserve"> генерации.</w:t>
      </w:r>
    </w:p>
    <w:p w:rsidR="00725D84" w:rsidRPr="00725D84" w:rsidRDefault="00725D84" w:rsidP="00725D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 w:eastAsia="en-US"/>
        </w:rPr>
      </w:pPr>
    </w:p>
    <w:p w:rsidR="00725D84" w:rsidRPr="00725D84" w:rsidRDefault="00725D84" w:rsidP="00725D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 w:eastAsia="en-US"/>
        </w:rPr>
      </w:pP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 </w:t>
      </w: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«Атомэнергопроект» (Московский, Нижегородский, </w:t>
      </w: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lastRenderedPageBreak/>
        <w:t>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725D84" w:rsidRPr="00725D84" w:rsidRDefault="00725D84" w:rsidP="00725D84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 w:eastAsia="en-US"/>
        </w:rPr>
      </w:pP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725D84" w:rsidRPr="00725D84" w:rsidRDefault="00725D84" w:rsidP="00725D84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 w:eastAsia="en-US"/>
        </w:rPr>
      </w:pP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>Порядка 80% выручки дивизиона составляют зарубежные проекты.</w:t>
      </w:r>
    </w:p>
    <w:p w:rsidR="00725D84" w:rsidRPr="00725D84" w:rsidRDefault="00725D84" w:rsidP="00725D84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 w:eastAsia="en-US"/>
        </w:rPr>
      </w:pP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EPC</w:t>
      </w: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EP</w:t>
      </w: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EPC</w:t>
      </w: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M</w:t>
      </w: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), включая управление проектом и проектирование, и развивает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Multi</w:t>
      </w: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>-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D</w:t>
      </w: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725D84" w:rsidRPr="00725D84" w:rsidRDefault="00725D84" w:rsidP="00725D8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Мы строим надежные и безопасные АЭС с реакторами типа ВВЭР поколения </w:t>
      </w:r>
      <w:r>
        <w:rPr>
          <w:rFonts w:ascii="Times New Roman" w:hAnsi="Times New Roman"/>
          <w:sz w:val="24"/>
          <w:szCs w:val="24"/>
          <w:lang w:eastAsia="en-US"/>
        </w:rPr>
        <w:t>III</w:t>
      </w:r>
      <w:r w:rsidRPr="00725D84">
        <w:rPr>
          <w:rFonts w:ascii="Times New Roman" w:hAnsi="Times New Roman"/>
          <w:sz w:val="24"/>
          <w:szCs w:val="24"/>
          <w:lang w:val="ru-RU" w:eastAsia="en-US"/>
        </w:rPr>
        <w:t>+</w:t>
      </w:r>
      <w:r w:rsidRPr="00725D84">
        <w:rPr>
          <w:rFonts w:ascii="Times New Roman" w:hAnsi="Times New Roman"/>
          <w:i/>
          <w:iCs/>
          <w:sz w:val="24"/>
          <w:szCs w:val="24"/>
          <w:lang w:val="ru-RU" w:eastAsia="en-US"/>
        </w:rPr>
        <w:t>, которые отвечают всем международным требованиям и рекомендациям.</w:t>
      </w:r>
    </w:p>
    <w:p w:rsidR="00725D84" w:rsidRPr="00725D84" w:rsidRDefault="00C23024" w:rsidP="00725D84">
      <w:pPr>
        <w:suppressAutoHyphens w:val="0"/>
        <w:spacing w:after="0" w:line="240" w:lineRule="auto"/>
        <w:jc w:val="both"/>
        <w:rPr>
          <w:rStyle w:val="a3"/>
          <w:rFonts w:ascii="Times New Roman" w:hAnsi="Times New Roman"/>
          <w:i/>
          <w:iCs/>
          <w:sz w:val="24"/>
          <w:szCs w:val="24"/>
          <w:lang w:val="ru-RU" w:eastAsia="en-US"/>
        </w:rPr>
      </w:pPr>
      <w:hyperlink r:id="rId5" w:history="1">
        <w:r w:rsidR="00725D84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www</w:t>
        </w:r>
        <w:r w:rsidR="00725D84" w:rsidRPr="00725D84">
          <w:rPr>
            <w:rStyle w:val="a3"/>
            <w:rFonts w:ascii="Times New Roman" w:hAnsi="Times New Roman"/>
            <w:i/>
            <w:iCs/>
            <w:sz w:val="24"/>
            <w:szCs w:val="24"/>
            <w:lang w:val="ru-RU" w:eastAsia="en-US"/>
          </w:rPr>
          <w:t>.</w:t>
        </w:r>
        <w:proofErr w:type="spellStart"/>
        <w:r w:rsidR="00725D84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ase</w:t>
        </w:r>
        <w:proofErr w:type="spellEnd"/>
        <w:r w:rsidR="00725D84" w:rsidRPr="00725D84">
          <w:rPr>
            <w:rStyle w:val="a3"/>
            <w:rFonts w:ascii="Times New Roman" w:hAnsi="Times New Roman"/>
            <w:i/>
            <w:iCs/>
            <w:sz w:val="24"/>
            <w:szCs w:val="24"/>
            <w:lang w:val="ru-RU" w:eastAsia="en-US"/>
          </w:rPr>
          <w:t>-</w:t>
        </w:r>
        <w:proofErr w:type="spellStart"/>
        <w:r w:rsidR="00725D84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ec</w:t>
        </w:r>
        <w:proofErr w:type="spellEnd"/>
        <w:r w:rsidR="00725D84" w:rsidRPr="00725D84">
          <w:rPr>
            <w:rStyle w:val="a3"/>
            <w:rFonts w:ascii="Times New Roman" w:hAnsi="Times New Roman"/>
            <w:i/>
            <w:iCs/>
            <w:sz w:val="24"/>
            <w:szCs w:val="24"/>
            <w:lang w:val="ru-RU" w:eastAsia="en-US"/>
          </w:rPr>
          <w:t>.</w:t>
        </w:r>
        <w:proofErr w:type="spellStart"/>
        <w:r w:rsidR="00725D84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ru</w:t>
        </w:r>
        <w:proofErr w:type="spellEnd"/>
      </w:hyperlink>
    </w:p>
    <w:p w:rsidR="00725D84" w:rsidRPr="00725D84" w:rsidRDefault="00725D84" w:rsidP="00725D8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16C2" w:rsidRDefault="000D16C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D16C2">
      <w:pgSz w:w="11906" w:h="16838"/>
      <w:pgMar w:top="426" w:right="566" w:bottom="1134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A"/>
    <w:rsid w:val="0000498E"/>
    <w:rsid w:val="0005358F"/>
    <w:rsid w:val="00054D15"/>
    <w:rsid w:val="000C26DD"/>
    <w:rsid w:val="000D16C2"/>
    <w:rsid w:val="000E799C"/>
    <w:rsid w:val="00126562"/>
    <w:rsid w:val="00177F38"/>
    <w:rsid w:val="001F6689"/>
    <w:rsid w:val="0022602A"/>
    <w:rsid w:val="002305B7"/>
    <w:rsid w:val="002A6C3F"/>
    <w:rsid w:val="00303D25"/>
    <w:rsid w:val="0039030E"/>
    <w:rsid w:val="003B3D16"/>
    <w:rsid w:val="00501C0C"/>
    <w:rsid w:val="00501EF9"/>
    <w:rsid w:val="0058684C"/>
    <w:rsid w:val="005A3155"/>
    <w:rsid w:val="005E253D"/>
    <w:rsid w:val="005E610E"/>
    <w:rsid w:val="00662ACE"/>
    <w:rsid w:val="006E2888"/>
    <w:rsid w:val="007016B0"/>
    <w:rsid w:val="00725D84"/>
    <w:rsid w:val="007C78BD"/>
    <w:rsid w:val="008024D3"/>
    <w:rsid w:val="0081786A"/>
    <w:rsid w:val="00873615"/>
    <w:rsid w:val="00906CCD"/>
    <w:rsid w:val="00911BC1"/>
    <w:rsid w:val="009652D3"/>
    <w:rsid w:val="009A5722"/>
    <w:rsid w:val="009E6B9D"/>
    <w:rsid w:val="00A47C60"/>
    <w:rsid w:val="00AA1F6F"/>
    <w:rsid w:val="00B21CC2"/>
    <w:rsid w:val="00B37C68"/>
    <w:rsid w:val="00B60497"/>
    <w:rsid w:val="00B67972"/>
    <w:rsid w:val="00B70D0D"/>
    <w:rsid w:val="00BA49CF"/>
    <w:rsid w:val="00C23024"/>
    <w:rsid w:val="00C46998"/>
    <w:rsid w:val="00C71C23"/>
    <w:rsid w:val="00CA1368"/>
    <w:rsid w:val="00CF1554"/>
    <w:rsid w:val="00D37328"/>
    <w:rsid w:val="00D51778"/>
    <w:rsid w:val="00D65595"/>
    <w:rsid w:val="00D675E2"/>
    <w:rsid w:val="00D86B79"/>
    <w:rsid w:val="00DA411D"/>
    <w:rsid w:val="00DF5BD6"/>
    <w:rsid w:val="00E60D92"/>
    <w:rsid w:val="00E81002"/>
    <w:rsid w:val="00EA391F"/>
    <w:rsid w:val="00F36786"/>
    <w:rsid w:val="00F74F5F"/>
    <w:rsid w:val="00F80C70"/>
    <w:rsid w:val="00FA08D0"/>
    <w:rsid w:val="00FE3596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372E76-93F6-4CE8-A80E-C948F7BF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Текст Знак"/>
    <w:rPr>
      <w:rFonts w:ascii="Tahoma" w:hAnsi="Tahoma" w:cs="Tahoma"/>
      <w:lang w:val="en-US" w:eastAsia="ar-SA" w:bidi="ar-SA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rFonts w:ascii="Calibri" w:eastAsia="Calibri" w:hAnsi="Calibri" w:cs="Calibri"/>
    </w:rPr>
  </w:style>
  <w:style w:type="character" w:customStyle="1" w:styleId="a6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7">
    <w:name w:val="Текст выноски Знак"/>
    <w:rPr>
      <w:rFonts w:ascii="Tahoma" w:eastAsia="Calibri" w:hAnsi="Tahoma" w:cs="Tahoma"/>
      <w:sz w:val="16"/>
      <w:szCs w:val="16"/>
    </w:rPr>
  </w:style>
  <w:style w:type="character" w:styleId="a8">
    <w:name w:val="Strong"/>
    <w:uiPriority w:val="22"/>
    <w:qFormat/>
    <w:rPr>
      <w:b/>
      <w:bCs/>
    </w:rPr>
  </w:style>
  <w:style w:type="character" w:customStyle="1" w:styleId="a9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14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6">
    <w:name w:val="Без интервала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customStyle="1" w:styleId="18">
    <w:name w:val="Тема примечания1"/>
    <w:basedOn w:val="17"/>
    <w:rPr>
      <w:b/>
      <w:bCs/>
    </w:rPr>
  </w:style>
  <w:style w:type="paragraph" w:customStyle="1" w:styleId="19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a">
    <w:name w:val="Рецензия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Balloon Text"/>
    <w:basedOn w:val="a"/>
    <w:link w:val="1b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c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1F66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725D84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725D84"/>
  </w:style>
  <w:style w:type="character" w:customStyle="1" w:styleId="s2">
    <w:name w:val="s2"/>
    <w:basedOn w:val="a0"/>
    <w:rsid w:val="00725D84"/>
  </w:style>
  <w:style w:type="paragraph" w:styleId="ae">
    <w:name w:val="No Spacing"/>
    <w:uiPriority w:val="1"/>
    <w:qFormat/>
    <w:rsid w:val="00725D84"/>
    <w:pPr>
      <w:suppressAutoHyphens/>
    </w:pPr>
    <w:rPr>
      <w:rFonts w:ascii="Calibri" w:eastAsia="Calibri" w:hAnsi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e-ec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5678</CharactersWithSpaces>
  <SharedDoc>false</SharedDoc>
  <HLinks>
    <vt:vector size="6" baseType="variant"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http://www.ase-ec.ru/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КСП</cp:lastModifiedBy>
  <cp:revision>2</cp:revision>
  <cp:lastPrinted>2018-09-11T09:43:00Z</cp:lastPrinted>
  <dcterms:created xsi:type="dcterms:W3CDTF">2023-12-18T16:06:00Z</dcterms:created>
  <dcterms:modified xsi:type="dcterms:W3CDTF">2023-12-18T16:06:00Z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