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Десять проектов вошли в цикл акселератора «Квантовые вычисления» «Росатома»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течение двух месяцев команды должны будут подтвердить экономическую целесообразность и научную востребованность предложенных идей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Заявки в специализированный акселератор «Квантовые вычисления», учрежденный госкорпорацией «Росатом», принимались от команд, занимающихся развитием проектов по тематике «Квантовые вычисления». В отличие от других акселерационных программ рассматривались не только уже реализованные инициативы, но и идеи. Всего на участие претендовали 54 команды. Эксперты госкорпорации выбрали десять лучших проектов, которые в ближайшие два месяца продолжат работу в акселераторе. Пять из них представлены коммерческими организациями, еще пять — научными командами российских вузов (Белгородский государственный технический университет им. Шухова, Нижегородский государственный университет им. Лобачевского, Санкт-Петербургский государственный университет, Российский технологический университет — МИРЭА, Национальный исследовательский университет «МЭИ»).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Тематика отобранных проектов касается различных направлений отрасли квантовых вычислений. Так, команды представили проекты источников одиночных фотонов, датчиков приема фотонов, систем охлаждения, инновационных моделей систем небольшого количества фотонов, систем и интерфейсов для квантового программирования. Команды проектов будут дорабатывать их под руководством трекеров акселератора. Они должны будут подтвердить рыночную или научную востребованность продуктов и идей.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Те из команд, кто справится с этими задачами, получат возможность включить разработки в дорожную карту «Развитие высокотехнологичной области „Квантовые вычисления“», разработанную госкорпорацией «Росатом» и утвержденную Правительством РФ, а следовательно, получить доступ к лучшему в России оборудованию, к площадкам для пилотирования высокотехнологичных решений, а также к финансированию разработок и «якорным» заказам от потенциальных заказчиков.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«Ключевая задача акселератора „Квантовые вычисления“ — выявить коммерческий и подтвердить научный потенциал отобранных проектов, а также найти прикладное применение предлагаемым технологиям в рамках дорожной карты», — рассказала руководитель акселерационной программы Виктория Романова.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старте акселератора команды встретятся с бизнес-заказчиками и трекерами для постановки задач. Далее они еженедельно будут все более глубоко погружаться в коммерческую и технологическую стороны своих проектов, искать потенциальных заказчиков, тестировать гипотезы.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Демодень акселератора пройдет в августе: именно тогда команды представят результаты двух месяцев работы отраслевому жюри.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Акселератор «Квантовые вычисления» — специализированный акселератор госкорпорации «Росатом», нацеленный на поддержку новых решений и технологий в области квантовых вычислений, в том числе стартапов, работающих в этой сфере.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«Развитие высокотехнологичной области „Квантовые вычисления“», разработанная госкорпорацией «Росатом» в рамках федерального проекта «Цифровые технологии», утверждена Президиумом правительственной комиссии по цифровому развитию в 2020 году.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сфокусирован как на решении исследовательских и инженерных задач в области квантовых вычислений, так и на формировании экосистемы для развития этого направления, включающей создание инфраструктурной базы, образовательных программ, консорциумов с индустриальными партнерами.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j20uRJ8iTGmOkHO+3B3LZGnsw==">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