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Participants in the construction of the Kudankulam NPP in India have joined the ‘Garden of Memory’ campaign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Arborvitae, mango trees and palms have been planted in Anuvijay township</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June 22, the Day of Remembrance and Sorrow, more than 70 employees of the Kudankulam NPP construction project (its General Designer and General Contractor being the Engineering Division of the Rosatom State Corporation) took part in the international ‘Garden of Memory’ event. In Anuvijay township, where Russian specialists live, trees and flowers have been planted to pay homage to heroes of the Great Patriotic War.</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“We have started together today, to plant arborvitae, mango trees and palm trees as part of the ‘Garden of Memory’ project. This is a very important event that reminds us of the stamina, courage and price that came with the Great Victory,” noted Anton Chistyakov, head of the ASE JSC Construction department at the Kudankulam NPP site. “It is essential that the Kudankulam NPP construction site has joined today this campaign and contributed to planting of 27 million trees, which is a live monument to the feat of the great victorious nation.”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Employees of the Rooppur NPP (the People's Republic of Bangladesh) and Paks-2 NPP (Hungary) construction sites joined earlier the ‘Garden of Memory’ campaign. The Engineering Division of the Rosatom State Corporation is the general designer and general contractor for construction of these nuclear facilities.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i w:val="1"/>
        </w:rPr>
      </w:pPr>
      <w:r w:rsidDel="00000000" w:rsidR="00000000" w:rsidRPr="00000000">
        <w:rPr>
          <w:i w:val="1"/>
          <w:rtl w:val="0"/>
        </w:rPr>
        <w:t xml:space="preserve">For reference:</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‘Garden of Memory’ international event is launched by the ‘Garden of Memory’ Autonomous Non-Commercial Organization, the ‘Volunteers of Victory’ all-Russian social movement, the Foundation in the Memory of Victory Сombat Leaders and assisted by the Russian Ministry of Natural Resources and the Federal Forestry Agency. This campaign promoted by the Presidential Grants Fund aims to support the national ‘Environmental protection’ project. To participate in the event, you should check in on the project website: sadmemory2023.rf. Or, to support the campaign in the #MemoryGardenAtHome format, you just need to plant a tree on your owned land plot and add the location to the map.</w:t>
      </w:r>
    </w:p>
    <w:p w:rsidR="00000000" w:rsidDel="00000000" w:rsidP="00000000" w:rsidRDefault="00000000" w:rsidRPr="00000000" w14:paraId="00000017">
      <w:pPr>
        <w:ind w:right="560"/>
        <w:rPr/>
      </w:pPr>
      <w:r w:rsidDel="00000000" w:rsidR="00000000" w:rsidRPr="00000000">
        <w:rPr>
          <w:rtl w:val="0"/>
        </w:rPr>
        <w:t xml:space="preserve">In 2024, participants from 40 FSU and beyond-FSU states have joined the ‘Garden of Memory’ campaign. Their goal is annual tree planting around the world to pay respect to each of the 27 million people who lost their lives during the Great Patriotic War. </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The Rosatom State Corporation is consistent in implementing the step-by-step transition to a green economy. Reducing the negative impact on nature, preserving and replenishing biological resources are environmental priority missions of the Russian nuclear industry. Nuclear workers pay great attention to the equipment upgrading that ensures the production of environmentally friendly energy; hundreds of millions of rubles are spent annually on environmental protection measures. Rosatom participates in projects to preserve biodiversity on our planet, it is engaged in reforestation, cleaning of river banks, fish-stocking of water bodies. Environmental initiatives are becoming important areas of volunteering activities for the employees of the State Corporation enterprises.</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Rosatom State Corporation Engineering Division unites the leading companies of the nuclear industry, namely: Atomstroyexport JSC (Moscow, Nizhny Novgorod, branches in Russia and abroad), Joint Design Institute – Atomenergoproekt JSC (Moscow, Nizhny Novgorod, St. Petersburg branches _ design institutes, branches in Russia and abroad, R&amp;D branches) and subsidiary construction organizations.</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 We construct reliable and safe NPPs with Gen III+ VVER reactors that are in line with all international requirements and recommendations.</w:t>
      </w:r>
    </w:p>
    <w:p w:rsidR="00000000" w:rsidDel="00000000" w:rsidP="00000000" w:rsidRDefault="00000000" w:rsidRPr="00000000" w14:paraId="0000001E">
      <w:pPr>
        <w:ind w:right="560"/>
        <w:rPr>
          <w:sz w:val="28"/>
          <w:szCs w:val="28"/>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ISDeACe3ivZl2SNJlDAYCwzrXA==">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