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pPr w:bottomFromText="0" w:horzAnchor="text" w:leftFromText="180" w:rightFromText="180" w:tblpX="-142" w:tblpY="0" w:topFromText="0" w:vertAnchor="text"/>
        <w:tblW w:w="10774" w:type="dxa"/>
        <w:jc w:val="left"/>
        <w:tblInd w:w="0" w:type="dxa"/>
        <w:tblLayout w:type="fixed"/>
        <w:tblCellMar>
          <w:top w:w="0" w:type="dxa"/>
          <w:left w:w="108" w:type="dxa"/>
          <w:bottom w:w="0" w:type="dxa"/>
          <w:right w:w="108" w:type="dxa"/>
        </w:tblCellMar>
        <w:tblLook w:val="0400"/>
      </w:tblPr>
      <w:tblGrid>
        <w:gridCol w:w="1507"/>
        <w:gridCol w:w="4249"/>
        <w:gridCol w:w="5018"/>
      </w:tblGrid>
      <w:tr>
        <w:trPr/>
        <w:tc>
          <w:tcPr>
            <w:tcW w:w="1507" w:type="dxa"/>
            <w:tcBorders/>
          </w:tcPr>
          <w:p>
            <w:pPr>
              <w:pStyle w:val="Normal"/>
              <w:widowControl w:val="false"/>
              <w:ind w:right="560" w:hanging="0"/>
              <w:rPr>
                <w:sz w:val="28"/>
                <w:szCs w:val="28"/>
              </w:rPr>
            </w:pPr>
            <w:r>
              <w:rPr>
                <w:sz w:val="28"/>
                <w:szCs w:val="28"/>
              </w:rPr>
              <w:drawing>
                <wp:anchor behindDoc="0" distT="0" distB="0" distL="114300" distR="114300" simplePos="0" locked="0" layoutInCell="1" allowOverlap="1" relativeHeight="2">
                  <wp:simplePos x="0" y="0"/>
                  <wp:positionH relativeFrom="column">
                    <wp:posOffset>0</wp:posOffset>
                  </wp:positionH>
                  <wp:positionV relativeFrom="paragraph">
                    <wp:posOffset>278765</wp:posOffset>
                  </wp:positionV>
                  <wp:extent cx="621665" cy="61976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21665" cy="619760"/>
                          </a:xfrm>
                          <a:prstGeom prst="rect">
                            <a:avLst/>
                          </a:prstGeom>
                        </pic:spPr>
                      </pic:pic>
                    </a:graphicData>
                  </a:graphic>
                </wp:anchor>
              </w:drawing>
            </w:r>
          </w:p>
        </w:tc>
        <w:tc>
          <w:tcPr>
            <w:tcW w:w="4249" w:type="dxa"/>
            <w:tcBorders/>
          </w:tcPr>
          <w:p>
            <w:pPr>
              <w:pStyle w:val="Normal"/>
              <w:widowControl w:val="false"/>
              <w:ind w:right="560" w:hanging="0"/>
              <w:rPr>
                <w:sz w:val="28"/>
                <w:szCs w:val="28"/>
              </w:rPr>
            </w:pPr>
            <w:r>
              <w:rPr>
                <w:sz w:val="28"/>
                <w:szCs w:val="28"/>
              </w:rPr>
            </w:r>
          </w:p>
          <w:p>
            <w:pPr>
              <w:pStyle w:val="Normal"/>
              <w:widowControl w:val="false"/>
              <w:ind w:right="560" w:hanging="0"/>
              <w:rPr>
                <w:sz w:val="28"/>
                <w:szCs w:val="28"/>
              </w:rPr>
            </w:pPr>
            <w:r>
              <w:rPr>
                <w:sz w:val="28"/>
                <w:szCs w:val="28"/>
              </w:rPr>
              <w:t xml:space="preserve">Rosatom digital </w:t>
            </w:r>
          </w:p>
          <w:p>
            <w:pPr>
              <w:pStyle w:val="Normal"/>
              <w:widowControl w:val="false"/>
              <w:ind w:right="560" w:hanging="0"/>
              <w:rPr>
                <w:sz w:val="28"/>
                <w:szCs w:val="28"/>
              </w:rPr>
            </w:pPr>
            <w:r>
              <w:rPr>
                <w:sz w:val="28"/>
                <w:szCs w:val="28"/>
              </w:rPr>
              <w:t xml:space="preserve">press office  </w:t>
              <w:br/>
            </w:r>
            <w:hyperlink r:id="rId3">
              <w:r>
                <w:rPr>
                  <w:color w:val="0563C1"/>
                  <w:sz w:val="28"/>
                  <w:szCs w:val="28"/>
                  <w:u w:val="single"/>
                </w:rPr>
                <w:t>https://atommedia.online/en/</w:t>
              </w:r>
            </w:hyperlink>
            <w:r>
              <w:rPr>
                <w:sz w:val="28"/>
                <w:szCs w:val="28"/>
              </w:rPr>
              <w:t xml:space="preserve"> </w:t>
            </w:r>
          </w:p>
        </w:tc>
        <w:tc>
          <w:tcPr>
            <w:tcW w:w="5018" w:type="dxa"/>
            <w:tcBorders/>
          </w:tcPr>
          <w:p>
            <w:pPr>
              <w:pStyle w:val="Normal"/>
              <w:widowControl w:val="false"/>
              <w:ind w:right="560" w:hanging="0"/>
              <w:jc w:val="right"/>
              <w:rPr>
                <w:b/>
                <w:sz w:val="28"/>
                <w:szCs w:val="28"/>
              </w:rPr>
            </w:pPr>
            <w:r>
              <w:rPr>
                <w:b/>
                <w:sz w:val="28"/>
                <w:szCs w:val="28"/>
              </w:rPr>
            </w:r>
          </w:p>
          <w:p>
            <w:pPr>
              <w:pStyle w:val="Normal"/>
              <w:widowControl w:val="false"/>
              <w:ind w:right="560" w:hanging="0"/>
              <w:jc w:val="right"/>
              <w:rPr>
                <w:b/>
                <w:sz w:val="28"/>
                <w:szCs w:val="28"/>
              </w:rPr>
            </w:pPr>
            <w:r>
              <w:rPr>
                <w:b/>
                <w:sz w:val="28"/>
                <w:szCs w:val="28"/>
              </w:rPr>
              <w:t>Press release</w:t>
            </w:r>
          </w:p>
          <w:p>
            <w:pPr>
              <w:pStyle w:val="Normal"/>
              <w:widowControl w:val="false"/>
              <w:ind w:right="560" w:hanging="0"/>
              <w:jc w:val="right"/>
              <w:rPr>
                <w:sz w:val="28"/>
                <w:szCs w:val="28"/>
              </w:rPr>
            </w:pPr>
            <w:r>
              <w:rPr>
                <w:sz w:val="28"/>
                <w:szCs w:val="28"/>
              </w:rPr>
              <w:t>24.10.24</w:t>
            </w:r>
          </w:p>
        </w:tc>
      </w:tr>
    </w:tbl>
    <w:p>
      <w:pPr>
        <w:pStyle w:val="Normal"/>
        <w:ind w:left="720" w:hanging="0"/>
        <w:rPr>
          <w:sz w:val="28"/>
          <w:szCs w:val="28"/>
        </w:rPr>
      </w:pPr>
      <w:r>
        <w:rPr>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Rosatom’s international project, Global Atomic Quiz 2024, starts on November 10</w:t>
      </w:r>
    </w:p>
    <w:p>
      <w:pPr>
        <w:pStyle w:val="Normal"/>
        <w:jc w:val="center"/>
        <w:rPr>
          <w:i/>
          <w:i/>
        </w:rPr>
      </w:pPr>
      <w:r>
        <w:rPr>
          <w:i/>
        </w:rPr>
        <w:t>The fifth anniversary quiz edition is dedicated to five main areas of nuclear achievements</w:t>
      </w:r>
    </w:p>
    <w:p>
      <w:pPr>
        <w:pStyle w:val="Normal"/>
        <w:rPr/>
      </w:pPr>
      <w:r>
        <w:rPr/>
      </w:r>
    </w:p>
    <w:p>
      <w:pPr>
        <w:pStyle w:val="Normal"/>
        <w:rPr/>
      </w:pPr>
      <w:r>
        <w:rPr/>
        <w:t>On November 10, R</w:t>
      </w:r>
      <w:r>
        <w:rPr/>
        <w:t>osatom</w:t>
      </w:r>
      <w:r>
        <w:rPr/>
        <w:t xml:space="preserve"> will once again present its international project for raising nuclear awareness – the Global Atomic Quiz 2024 – in celebration of World Science Day. </w:t>
      </w:r>
    </w:p>
    <w:p>
      <w:pPr>
        <w:pStyle w:val="Normal"/>
        <w:rPr/>
      </w:pPr>
      <w:r>
        <w:rPr/>
      </w:r>
    </w:p>
    <w:p>
      <w:pPr>
        <w:pStyle w:val="Normal"/>
        <w:rPr/>
      </w:pPr>
      <w:r>
        <w:rPr/>
        <w:t>This year’s quiz marks its fifth anniversary and features a special commemorative edition. Conducted online in 13 languages, the quiz will feature events designed especially for schoolchildren and students worldwide, from Myanmar to Brazil. The quiz will be available in English, Russian, Bengali, Hungarian, Spanish, Portuguese, Kyrgyz, Kazakh, Mongolian, Turkish, Uzbek, Arabic, and Indonesian.</w:t>
      </w:r>
    </w:p>
    <w:p>
      <w:pPr>
        <w:pStyle w:val="Normal"/>
        <w:rPr/>
      </w:pPr>
      <w:r>
        <w:rPr/>
      </w:r>
    </w:p>
    <w:p>
      <w:pPr>
        <w:pStyle w:val="Normal"/>
        <w:rPr/>
      </w:pPr>
      <w:r>
        <w:rPr/>
        <w:t>Participants will have the opportunity not only to broaden their knowledge and win unique prizes, but also to uncover intriguing facts about the surprising and diverse applications of nuclear science. They will have a full 24 hours to tackle 25 questions of varying difficulty and topics. In celebration of the quiz’s fifth anniversary, the questions will be organized into five distinct groups, each highlighting one of the major spheres of nuclear applications: “Energy and environment”, “Nuclear science”, “Industry and transport”, “Health”, and “Food and agriculture”.</w:t>
      </w:r>
    </w:p>
    <w:p>
      <w:pPr>
        <w:pStyle w:val="Normal"/>
        <w:rPr/>
      </w:pPr>
      <w:r>
        <w:rPr/>
      </w:r>
    </w:p>
    <w:p>
      <w:pPr>
        <w:pStyle w:val="Normal"/>
        <w:rPr/>
      </w:pPr>
      <w:r>
        <w:rPr/>
        <w:t xml:space="preserve">To take part in this global project, participants need to visit the </w:t>
      </w:r>
      <w:hyperlink r:id="rId4">
        <w:r>
          <w:rPr>
            <w:color w:val="0563C1"/>
            <w:u w:val="single"/>
          </w:rPr>
          <w:t>quiz website</w:t>
        </w:r>
      </w:hyperlink>
      <w:r>
        <w:rPr/>
        <w:t xml:space="preserve"> on November 10. To prepare for the quiz, participants can visit the website to explore infographics that illustrate various applications of atomic technologies and provide useful hints.</w:t>
      </w:r>
    </w:p>
    <w:p>
      <w:pPr>
        <w:pStyle w:val="Normal"/>
        <w:rPr/>
      </w:pPr>
      <w:r>
        <w:rPr/>
      </w:r>
    </w:p>
    <w:p>
      <w:pPr>
        <w:pStyle w:val="Normal"/>
        <w:rPr/>
      </w:pPr>
      <w:r>
        <w:rPr/>
        <w:t>All participants will receive a digital certificate, while 100 winners will be awarded with a unique prize: an atomic puzzle. A special prize awaits the top three participants: a trip to Russia. All the winners will be announced on the project’s website by November 22.</w:t>
      </w:r>
    </w:p>
    <w:p>
      <w:pPr>
        <w:pStyle w:val="Normal"/>
        <w:rPr/>
      </w:pPr>
      <w:r>
        <w:rPr/>
      </w:r>
    </w:p>
    <w:p>
      <w:pPr>
        <w:pStyle w:val="Normal"/>
        <w:rPr>
          <w:b/>
        </w:rPr>
      </w:pPr>
      <w:r>
        <w:rPr>
          <w:b/>
        </w:rPr>
        <w:t>For reference:</w:t>
      </w:r>
    </w:p>
    <w:p>
      <w:pPr>
        <w:pStyle w:val="Normal"/>
        <w:rPr/>
      </w:pPr>
      <w:r>
        <w:rPr/>
      </w:r>
    </w:p>
    <w:p>
      <w:pPr>
        <w:pStyle w:val="Normal"/>
        <w:rPr/>
      </w:pPr>
      <w:r>
        <w:rPr/>
        <w:t>The educational activities of Rosatom are aimed at a broad audience. The goals of its scientific outreach projects, in addition to popularizing atomic technologies, include increasing access to knowledge about science and technology as a whole and enhancing the appeal of scientific and technical education and engineering specialties. The educational infrastructure network created by Rosatom includes 25 information centers for atomic energy in Russia and abroad, which attracted over 280,000 visitors in 2023.</w:t>
      </w:r>
    </w:p>
    <w:p>
      <w:pPr>
        <w:pStyle w:val="Normal"/>
        <w:rPr/>
      </w:pPr>
      <w:r>
        <w:rPr/>
      </w:r>
    </w:p>
    <w:p>
      <w:pPr>
        <w:pStyle w:val="Normal"/>
        <w:rPr/>
      </w:pPr>
      <w:r>
        <w:rPr/>
        <w:t>Global Atomic Quiz is not just a popular science quiz but a truly global educational project that explains the basics of nuclear physics, shows the importance of nuclear technologies in everyday life and highlights the role that nuclear plays in preserving our fragile planet. Since its launch in 2020, the Global Atomic Quiz has been conducted in more than 11 languages and has attracted over 40,000 enthusiasts from 70+ countries. In 2023, the quiz became a prize winner of IX All-Russian award “For Fidelity to Science” in the category “Science for the world”.</w:t>
      </w:r>
    </w:p>
    <w:p>
      <w:pPr>
        <w:pStyle w:val="Normal"/>
        <w:rPr/>
      </w:pPr>
      <w:r>
        <w:rPr/>
      </w:r>
    </w:p>
    <w:sectPr>
      <w:type w:val="nextPage"/>
      <w:pgSz w:w="12240" w:h="15840"/>
      <w:pgMar w:left="1134" w:right="1134" w:gutter="0" w:header="0" w:top="45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Times New Roman">
    <w:charset w:val="01"/>
    <w:family w:val="swiss"/>
    <w:pitch w:val="default"/>
  </w:font>
  <w:font w:name="Georgia">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GB" w:eastAsia="zh-CN" w:bidi="hi-IN"/>
      </w:rPr>
    </w:rPrDefault>
    <w:pPrDefault>
      <w:pPr>
        <w:suppressAutoHyphens w:val="true"/>
      </w:pPr>
    </w:pPrDefault>
  </w:docDefault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n-GB"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unhideWhenUsed/>
    <w:qFormat/>
    <w:rPr/>
  </w:style>
  <w:style w:type="character" w:styleId="-">
    <w:name w:val="Hyperlink"/>
    <w:basedOn w:val="DefaultParagraphFont"/>
    <w:uiPriority w:val="99"/>
    <w:unhideWhenUsed/>
    <w:rsid w:val="00c56287"/>
    <w:rPr>
      <w:color w:val="0563C1" w:themeColor="hyperlink"/>
      <w:u w:val="single"/>
    </w:rPr>
  </w:style>
  <w:style w:type="character" w:styleId="UnresolvedMention">
    <w:name w:val="Unresolved Mention"/>
    <w:basedOn w:val="DefaultParagraphFont"/>
    <w:uiPriority w:val="99"/>
    <w:semiHidden/>
    <w:unhideWhenUsed/>
    <w:qFormat/>
    <w:rsid w:val="00c56287"/>
    <w:rPr>
      <w:color w:val="605E5C"/>
      <w:shd w:fill="E1DFDD" w:val="clear"/>
    </w:rPr>
  </w:style>
  <w:style w:type="character" w:styleId="Style8" w:customStyle="1">
    <w:name w:val="Верхний колонтитул Знак"/>
    <w:basedOn w:val="DefaultParagraphFont"/>
    <w:uiPriority w:val="99"/>
    <w:qFormat/>
    <w:rsid w:val="00c56287"/>
    <w:rPr/>
  </w:style>
  <w:style w:type="character" w:styleId="Style9" w:customStyle="1">
    <w:name w:val="Нижний колонтитул Знак"/>
    <w:basedOn w:val="DefaultParagraphFont"/>
    <w:uiPriority w:val="99"/>
    <w:qFormat/>
    <w:rsid w:val="00c56287"/>
    <w:rPr/>
  </w:style>
  <w:style w:type="character" w:styleId="Style10">
    <w:name w:val="FollowedHyperlink"/>
    <w:basedOn w:val="DefaultParagraphFont"/>
    <w:uiPriority w:val="99"/>
    <w:semiHidden/>
    <w:unhideWhenUsed/>
    <w:rsid w:val="00c56287"/>
    <w:rPr>
      <w:color w:val="954F72" w:themeColor="followedHyperlink"/>
      <w:u w:val="single"/>
    </w:rPr>
  </w:style>
  <w:style w:type="paragraph" w:styleId="Style11">
    <w:name w:val="Заголовок"/>
    <w:basedOn w:val="Normal"/>
    <w:next w:val="Style12"/>
    <w:qFormat/>
    <w:pPr>
      <w:keepNext w:val="true"/>
      <w:spacing w:before="240" w:after="120"/>
    </w:pPr>
    <w:rPr>
      <w:rFonts w:ascii="Calibri" w:hAnsi="Calibri" w:eastAsia="Microsoft YaHei"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ascii="Calibri" w:hAnsi="Calibri" w:cs="Arial"/>
    </w:rPr>
  </w:style>
  <w:style w:type="paragraph" w:styleId="Style14">
    <w:name w:val="Caption"/>
    <w:basedOn w:val="Normal"/>
    <w:qFormat/>
    <w:pPr>
      <w:suppressLineNumbers/>
      <w:spacing w:before="120" w:after="120"/>
    </w:pPr>
    <w:rPr>
      <w:rFonts w:ascii="Calibri" w:hAnsi="Calibri" w:cs="Arial"/>
      <w:i/>
      <w:iCs/>
      <w:sz w:val="24"/>
      <w:szCs w:val="24"/>
    </w:rPr>
  </w:style>
  <w:style w:type="paragraph" w:styleId="Style15">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Calibri" w:hAnsi="Calibri" w:eastAsia="Calibri" w:cs="Calibri"/>
      <w:color w:val="auto"/>
      <w:kern w:val="0"/>
      <w:sz w:val="24"/>
      <w:szCs w:val="24"/>
      <w:lang w:val="en-GB" w:eastAsia="zh-CN" w:bidi="hi-IN"/>
    </w:rPr>
  </w:style>
  <w:style w:type="paragraph" w:styleId="Style16">
    <w:name w:val="Title"/>
    <w:basedOn w:val="Normal1"/>
    <w:next w:val="Normal1"/>
    <w:qFormat/>
    <w:pPr>
      <w:keepNext w:val="true"/>
      <w:keepLines/>
      <w:pageBreakBefore w:val="false"/>
      <w:spacing w:lineRule="auto" w:line="240" w:before="480" w:after="120"/>
    </w:pPr>
    <w:rPr>
      <w:b/>
      <w:sz w:val="72"/>
      <w:szCs w:val="72"/>
    </w:rPr>
  </w:style>
  <w:style w:type="paragraph" w:styleId="Style17">
    <w:name w:val="Колонтитул"/>
    <w:basedOn w:val="Normal"/>
    <w:qFormat/>
    <w:pPr/>
    <w:rPr/>
  </w:style>
  <w:style w:type="paragraph" w:styleId="Style18">
    <w:name w:val="Header"/>
    <w:basedOn w:val="Normal"/>
    <w:link w:val="Style8"/>
    <w:uiPriority w:val="99"/>
    <w:unhideWhenUsed/>
    <w:rsid w:val="00c56287"/>
    <w:pPr>
      <w:tabs>
        <w:tab w:val="clear" w:pos="720"/>
        <w:tab w:val="center" w:pos="4680" w:leader="none"/>
        <w:tab w:val="right" w:pos="9360" w:leader="none"/>
      </w:tabs>
    </w:pPr>
    <w:rPr/>
  </w:style>
  <w:style w:type="paragraph" w:styleId="Style19">
    <w:name w:val="Footer"/>
    <w:basedOn w:val="Normal"/>
    <w:link w:val="Style9"/>
    <w:uiPriority w:val="99"/>
    <w:unhideWhenUsed/>
    <w:rsid w:val="00c56287"/>
    <w:pPr>
      <w:tabs>
        <w:tab w:val="clear" w:pos="720"/>
        <w:tab w:val="center" w:pos="4680" w:leader="none"/>
        <w:tab w:val="right" w:pos="9360" w:leader="none"/>
      </w:tabs>
    </w:pPr>
    <w:rPr/>
  </w:style>
  <w:style w:type="paragraph" w:styleId="NormalWeb">
    <w:name w:val="Normal (Web)"/>
    <w:basedOn w:val="Normal"/>
    <w:uiPriority w:val="99"/>
    <w:semiHidden/>
    <w:unhideWhenUsed/>
    <w:qFormat/>
    <w:rsid w:val="00b77376"/>
    <w:pPr>
      <w:spacing w:beforeAutospacing="1" w:afterAutospacing="1"/>
    </w:pPr>
    <w:rPr>
      <w:rFonts w:ascii="Times New Roman" w:hAnsi="Times New Roman" w:eastAsia="Times New Roman" w:cs="Times New Roman"/>
      <w:lang w:val="ru-RU" w:eastAsia="ru-RU"/>
    </w:rPr>
  </w:style>
  <w:style w:type="paragraph" w:styleId="V1msonormal" w:customStyle="1">
    <w:name w:val="v1msonormal"/>
    <w:basedOn w:val="Normal"/>
    <w:qFormat/>
    <w:rsid w:val="00d009da"/>
    <w:pPr>
      <w:spacing w:beforeAutospacing="1" w:afterAutospacing="1"/>
    </w:pPr>
    <w:rPr>
      <w:rFonts w:ascii="Times New Roman" w:hAnsi="Times New Roman" w:eastAsia="Times New Roman" w:cs="Times New Roman"/>
      <w:lang w:val="ru-RU" w:eastAsia="ru-RU"/>
    </w:rPr>
  </w:style>
  <w:style w:type="paragraph" w:styleId="Style20">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0776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tommedia.online/en/" TargetMode="External"/><Relationship Id="rId4" Type="http://schemas.openxmlformats.org/officeDocument/2006/relationships/hyperlink" Target="https://quiz.atomforyou.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Bme1+s+lFS5bUjZzQrgEuCSIaw==">CgMxLjA4AHIhMW9Rb3M1YzRrNVdheVdPOEtTUXZpdEllTkJCZjdYN0Zz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452</Words>
  <Characters>2570</Characters>
  <CharactersWithSpaces>3015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2024-10-25T10:20:00Z</dcterms:created>
  <dc:creator>b v</dc:creator>
  <dc:description/>
  <dc:language>ru-RU</dc:language>
  <cp:lastModifiedBy/>
  <dcterms:modified xsi:type="dcterms:W3CDTF">2024-10-25T13:46:12Z</dcterms:modified>
  <cp:revision>1</cp:revision>
  <dc:subject/>
  <dc:title/>
</cp:coreProperties>
</file>