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Подведены итоги III Конференции по математическому моделированию, которая прошла при поддержке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Ее участниками стали более 600 представителей промышленных и ИТ-компаний, университетов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III Конференции по математическому моделированию, которая прошла в музее «Атом» на ВДНХ, обсудили развитие российских САЕ-систем и перспективы достижения их конкурентоспособности на международном рынке. Повестку мероприятия составили вопросы национальных задачах развития CAD/САЕ-систем, пользовательского опыта их внедрения в производственную практику различных индустрий, научных разработок и трендов в части интеграции перспективных решений в САЕ, а также кадровое обеспечение данной сферы.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Участники назвали наиболее результативным инструментом достижения мирового уровня качества отечественной индустриальной «цифры» кооперацию ИТ-разработчиков, в том числе, </w:t>
      </w:r>
      <w:r w:rsidDel="00000000" w:rsidR="00000000" w:rsidRPr="00000000">
        <w:rPr>
          <w:rtl w:val="0"/>
        </w:rPr>
        <w:t xml:space="preserve">партнёрство</w:t>
      </w:r>
      <w:r w:rsidDel="00000000" w:rsidR="00000000" w:rsidRPr="00000000">
        <w:rPr>
          <w:rtl w:val="0"/>
        </w:rPr>
        <w:t xml:space="preserve"> частных ИТ-структур с крупными государственными компаниями.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Директор по цифровизации госкорпорации «Росатом» Екатерина Солнцева отметила, что развитие национальной CAЕ-платформы призвано объединить разработчиков для быстрого наращивания функциональности российского ПО данного класса: «Объединение усилий разработчиков позволит сделать рывок, предоставив российским предприятиям САЕ-систему, сравнимую с продуктами мирового уровня. Уже сейчас такое объединенное на национальной платформе решение закроет до 85 % от заявленной функциональности мировых лидеров. Масштабная кооперация – непростая задача, но преодолев сложности, мы получим конкурентное преимущество, которого нет на мировом рынке. Объединяя продукты математического моделирования от разных компаний на одной платформе, мы открываем для инженеров возможность проведения </w:t>
      </w:r>
      <w:r w:rsidDel="00000000" w:rsidR="00000000" w:rsidRPr="00000000">
        <w:rPr>
          <w:rtl w:val="0"/>
        </w:rPr>
        <w:t xml:space="preserve">мультифизических</w:t>
      </w:r>
      <w:r w:rsidDel="00000000" w:rsidR="00000000" w:rsidRPr="00000000">
        <w:rPr>
          <w:rtl w:val="0"/>
        </w:rPr>
        <w:t xml:space="preserve"> расчетов, которые позволят создавать промышленные изделия с учетом большего количества разных расчетных моделей, а значит, мы обеспечим повышение качества не только промышленного ПО, но и самой промышленной продукции».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Директор департамента цифровых технологий Министерства промышленности и торговли Российской Федерации Владимир </w:t>
      </w:r>
      <w:r w:rsidDel="00000000" w:rsidR="00000000" w:rsidRPr="00000000">
        <w:rPr>
          <w:rtl w:val="0"/>
        </w:rPr>
        <w:t xml:space="preserve">Дождёв</w:t>
      </w:r>
      <w:r w:rsidDel="00000000" w:rsidR="00000000" w:rsidRPr="00000000">
        <w:rPr>
          <w:rtl w:val="0"/>
        </w:rPr>
        <w:t xml:space="preserve"> подчеркнул, что математическое моделирование и инженерный анализ – это набор технологий, которые определяют конкурентоспособность промышленности. Платформенный курс он назвал трендом мировой САЕ-сферы: «Конкуренция в цифровом бизнесе все больше смещается в сторону максимально широкого охвата САЕ-решениями новых функций, их конвергенции между собой и их объединения в платформы. Этот путь нам нужно пройти, он предусматривает очень плотную кооперацию промышленных заказчиков и разработчиков. Мы будем идти по нему, развивая нашу нормативную базу, наши меры поддержки под необходимые условия. И, конечно, предлагая необходимые инструменты субсидиарной поддержки проектам по развитию и доработке наших решений под требуемую функциональность».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400 тыс. человек. С 2018 года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r w:rsidDel="00000000" w:rsidR="00000000" w:rsidRPr="00000000">
        <w:rPr>
          <w:rtl w:val="0"/>
        </w:rPr>
        <w:t xml:space="preserve">нацпрограммы</w:t>
      </w:r>
      <w:r w:rsidDel="00000000" w:rsidR="00000000" w:rsidRPr="00000000">
        <w:rPr>
          <w:rtl w:val="0"/>
        </w:rPr>
        <w:t xml:space="preserve">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r w:rsidDel="00000000" w:rsidR="00000000" w:rsidRPr="00000000">
        <w:rPr>
          <w:rtl w:val="0"/>
        </w:rPr>
        <w:t xml:space="preserve">нейротехнологии</w:t>
      </w:r>
      <w:r w:rsidDel="00000000" w:rsidR="00000000" w:rsidRPr="00000000">
        <w:rPr>
          <w:rtl w:val="0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САЕ-системами (Computer-Aided Engineering) называется программное обеспечение, предназначенное для расчётов, анализа и симуляции физических процессов в решении инженерных задач. Системы позволяют при помощи расчётных методов моделировать «поведение» промышленных изделий в реальных условиях эксплуатации.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Система математического моделирования и инженерного анализа «Логос» (относится к промышленному программному обеспечению класса САЕ) – цифровой продукт для инженерного анализа и суперкомпьютерного моделирования класса САЕ. Создан на основе многолетних разработок «Росатома», которые с 2009 года реализуются в госкорпорации. В настоящее время семейство «Логос» состоит из семи модулей: «Логос Аэро-Гидро» предназначен для моделирования процессов в воздушной и водной средах; «Логос Тепло» предназначен для оценки тепловых характеристик и режимов деталей и узлов; «Логос Прочность» применяется для решения статических и динамических прочностных задач; «Логос Гидрогеология» предназначен для решения задач водного баланса территорий и моделирования экологических процессов в сложной геологической среде; «Логос Платформа» предназначен для интеграции в единую платформу вычислительных модулей «Логос» и ПО класса САЕ от различных российских разработчиков; «Логос Препост» предназначен для подготовки геометрических моделей и их последующей обработки в рамках численного моделирования и анализа различных инженерных задач; «Логос ЭМИ» предназначен для численного моделирования электромагнитных процессов. В декабре 2023 года госкорпорация «Росатом» объявила о выходе на рынок нового модуля флагманской CАЕ-системы инженерного анализа и математического моделирования «Логос» – «Логос Электромагнетизм» («Логос ЭМИ»).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«Росатом» является партнером государства в реализации проектов цифровизации, направленных на обеспечение технологического суверенитета российской промышленности. Создание </w:t>
      </w:r>
      <w:r w:rsidDel="00000000" w:rsidR="00000000" w:rsidRPr="00000000">
        <w:rPr>
          <w:rtl w:val="0"/>
        </w:rPr>
        <w:t xml:space="preserve">импортонезависимого</w:t>
      </w:r>
      <w:r w:rsidDel="00000000" w:rsidR="00000000" w:rsidRPr="00000000">
        <w:rPr>
          <w:rtl w:val="0"/>
        </w:rPr>
        <w:t xml:space="preserve"> индустриального ПО обеспечит конкурентоспособность российских высокотехнологичных отраслей и их дальнейшее развитие. Программные решения, создаваемые разработчиками госкорпорации, а также инициативы «Росатома» по объединению потенциала российских ИТ-компаний, являются важным компонентом достижения глобального технологического лидерства России в цифровой сфере.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yXoYNBNBFxW/A2ePu1IRCfanuw==">CgMxLjA4AHIhMVhSRHcwUGtQVUk5Sy1FdlZseTRIeFdUdjliSXVISjIy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2024-12-16T12:01:00Z</dcterms:created>
  <dc:creator>b v</dc:creator>
</cp:coreProperties>
</file>