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Times New Roman" w:hAnsi="Times New Roman" w:eastAsia="Times New Roman" w:cs="Times New Roman"/>
          <w:b/>
          <w:sz w:val="26"/>
          <w:szCs w:val="26"/>
        </w:rPr>
      </w:pPr>
      <w:r>
        <w:rPr>
          <w:rFonts w:eastAsia="Times New Roman" w:cs="Times New Roman" w:ascii="Times New Roman" w:hAnsi="Times New Roman"/>
          <w:b/>
          <w:sz w:val="26"/>
          <w:szCs w:val="26"/>
        </w:rPr>
        <w:t>Росатом подвел итоги участия в 28-й Конференции ООН по изменению климата</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Госкорпорация подчеркивает необходимость развития атомной энергетики для достижения углеродной нейтральности</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Представители Госкорпорации «Росатом» приняли участие в работе 28-й Конференции сторон Рамочной конвенции ООН об изменении климата (COP28), которая в этом году прошла в Дубае. В рамках конференции Госкорпорация организовала серию мероприятий, призванных продемонстрировать роль атомной энергетики и технологий в решении проблемы изменения климата Земли.</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«Мы убеждены, что атомная энергетика является неотъемлемой частью низкоуглеродного баланса, поэтому Росатом уже традиционно принимает участие в Климатической конференции ООН. Напомню, что Росатом был одной из первых атомных компаний, включившихся в климатическую дискуссию и предложивших рассматривать атомную энергетику как работающий инструмент в борьбе с изменением климата. Результаты климатической конференции этого года показывают, что наш голос и голоса других сторонников атомной энергетики слышат. Сформирован устойчивый запрос на атомную энергетику со стороны международных партнеров. Атомная энергетика снова становится востребованной, в том числе благодаря тому, что ядерные технологии постоянно совершенствуются», — отметил Алексей Лихачев, генеральный директор Госкорпорации «Росатом».</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В рамках конференции Госкорпорация «Росатом» по приглашению Всемирной ядерной ассоциации присоединилась к Заявлению компаний атомной отрасли (Net Zero Nuclear Industry Pledge) — международной инициативе, объединившей уже более 120 компаний, ведущих свою деятельность в 140 странах мира. Участники инициативы договорились максимально увеличить вклад действующих атомных электростанций и ускорить темпы развития новых атомных технологий для достижения цели — как минимум трехкратного увеличения мощностей атомной генерации к 2050 году. Сегодня Росатом является лидером среди компаний атомной отрасли по количеству одновременно сооружаемых атомных блоков. За рубежом в стадии строительства находятся 22 блока в семи странах. Также Росатом от лица Российской Федерации присоединился к заявлению МАГАТЭ о роли ядерной энергетики в климатической повестке.</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Существенно расширить использование атомной энергии в мире поможет развитие малых АЭС, что подтверждают международные атомные агентства. Отвечая на запрос со стороны международных партнеров, Росатом организовал на полях COP28 День атомных станций малой мощности (День АСММ), где представил полный спектр своих технологических решений АСММ для достижения климатических целей и обеспечения низкоуглеродного будущего. Мероприятие привлекло более 160 гостей из 30 стран мира. Спикерами панельной дискуссии выступили глава Всемирной ядерной ассоциации Сама Бильбао-и-Леон, высокопоставленные представители профильных министерств и энергетических компаний из разных стран. Участники дискуссии рассказали о том, как малая атомная энергетика может решить широкий спектр задач регионального и промышленного развития.</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8 декабря в павильоне Российской Федерации Росатом провел «День атома для будущих поколений». В рамках серии дискуссий руководители Росатома, российские и зарубежные эксперты и партнеры в течение всего дня делились видением роли атомных технологий в обеспечении энергетического перехода в различных странах. «Мы убеждены, что для устойчивого и благополучного энергетического будущего человечеству необходима атомная энергия. Росатом развивает возобновляемые источники энергии, ветрогенерацию, накопители энергии, но мы считаем, что атомная энергетика продолжит играть в зеленом энергомиксе центральную роль», — комментирует Кирилл Комаров, первый заместитель генерального директора — директор Блока по развитию и международному бизнесу Росатома.</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Также представители Росатома приняли участие в ряде других сессий в павильоне Российской Федерации, включая День энергетики, организованный 6 декабря Минэнерго России, и День научного подхода в климатической политике 10 декабря, проведенный при поддержке Минэкономразвития России и ряда российских компаний и научных организаций.</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Заместитель генерального директора Госкорпорации «Росатом» по машиностроению и индустриальным решениям Андрей Никипелов отметил: «АЭС малой мощности в наземном и плавучем исполнении — одно из наиболее перспективных направлений в современной атомной энергетике. И на них есть спрос как в России, так и со стороны иностранных государств, в частности стран Глобального Юга.</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При этом, тиражируя современное технологическое поколение в атомной энергетике, мы параллельно работаем над атомными энерготехнологиями следующего этапа — строим двухкомпонентную атомную энергетику с замкнутым ядерным топливным циклом».</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«Атом стал полноценным участником климатических диалогов, мы отчетливо видим это через повестку последних климатических конференций начиная с COP26 в Глазго. Видим все больший интерес участников этой площадки к атомным технологиям для борьбы с климатическими изменениями. Как лидер мировой атомной отрасли мы понимаем свою ответственность не только за обеспечение надежной и стабильной генерации, но и за вклад в борьбу с изменениями климата», — отметила директор Департамента устойчивого развития Госкорпорации «Росатом» Полина Лион.</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10 декабря состоялась официальная панельная дискуссия Российской Федерации, посвященная роли науки в решении проблем климата. В мероприятии приняли участие представители Министерства природных ресурсов РФ, Министерства образования и науки РФ, Росгидромета, Российского союза промышленников и предпринимателей, а также спикеры российских научных организаций — Института Арктики и Антарктики и Института океанографии. Росатом на мероприятии представил заместитель генерального директора по науке и стратегии Госкорпорации «Росатом» Юрий Оленин. В ходе выступления он отметил, как современная высокотехнологичная и наукоемкая атомная отрасль вносит вклад в достижение обязательств РФ по снижению углеродного следа, а также роль атомных технологий в решении различных вопросов устойчивого развития.</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В рамках COP28 представители Росатома также приняли участие в дискуссионных площадках, которые проводили новички «ядерного клуба» — Египет и Турция. Кроме того, Росатом уделил внимание вопросам молодежной и гендерной повестки, для обсуждения которых прошли отдельные панельные дискуссии с участием представителей Корпоративной Академии Росатома, а также участников Молодежного консультационного совета при генеральном директоре Госкорпорации «Росатом» Impact Team 2050.</w:t>
      </w:r>
    </w:p>
    <w:p>
      <w:pPr>
        <w:pStyle w:val="LO-normal"/>
        <w:jc w:val="both"/>
        <w:rPr>
          <w:rFonts w:ascii="Times New Roman" w:hAnsi="Times New Roman" w:eastAsia="Times New Roman" w:cs="Times New Roman"/>
          <w:sz w:val="28"/>
          <w:szCs w:val="28"/>
        </w:rPr>
      </w:pPr>
      <w:r>
        <w:rPr>
          <w:rFonts w:eastAsia="Times New Roman" w:cs="Times New Roman" w:ascii="Times New Roman" w:hAnsi="Times New Roman"/>
          <w:b w:val="false"/>
          <w:i w:val="false"/>
          <w:caps w:val="false"/>
          <w:smallCaps w:val="false"/>
          <w:color w:val="333333"/>
          <w:spacing w:val="0"/>
          <w:sz w:val="26"/>
          <w:szCs w:val="26"/>
        </w:rPr>
        <w:t>На полях 28-го Климатического саммита Росатом и компания «Эском» также подписали соглашение по вопросам установления стратегических партнерских отношений в рамках международного Альянса человекоцентричных организаций. Основные усилия компаний будут направлены на реализацию совместных проектов и инициатив, консолидацию и координацию деятельности в сфере развития человекоцентричного подхода к подготовке кадров.</w:t>
      </w:r>
      <w:r>
        <w:rPr>
          <w:rFonts w:eastAsia="Times New Roman" w:cs="Times New Roman" w:ascii="Times New Roman" w:hAnsi="Times New Roman"/>
          <w:sz w:val="28"/>
          <w:szCs w:val="28"/>
        </w:rPr>
        <w:t xml:space="preserve"> </w:t>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tabs>
          <w:tab w:val="clear" w:pos="720"/>
          <w:tab w:val="left" w:pos="4224" w:leader="none"/>
          <w:tab w:val="left" w:pos="6144" w:leader="none"/>
        </w:tabs>
        <w:spacing w:before="0" w:after="160"/>
        <w:jc w:val="right"/>
        <w:rPr>
          <w:rFonts w:ascii="Times New Roman" w:hAnsi="Times New Roman" w:eastAsia="Times New Roman" w:cs="Times New Roman"/>
          <w:sz w:val="26"/>
          <w:szCs w:val="26"/>
        </w:rPr>
      </w:pPr>
      <w:r>
        <w:rPr/>
      </w:r>
    </w:p>
    <w:sectPr>
      <w:type w:val="nextPage"/>
      <w:pgSz w:w="11906" w:h="16838"/>
      <w:pgMar w:left="1701" w:right="850"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Times New Roman">
    <w:charset w:val="01"/>
    <w:family w:val="swiss"/>
    <w:pitch w:val="default"/>
  </w:font>
  <w:font w:name="Times New Roman">
    <w:charset w:val="01"/>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1">
    <w:name w:val="Heading 1"/>
    <w:basedOn w:val="LO-normal"/>
    <w:next w:val="LO-normal"/>
    <w:qFormat/>
    <w:pPr>
      <w:keepNext w:val="true"/>
      <w:keepLines/>
      <w:pageBreakBefore w:val="false"/>
      <w:spacing w:lineRule="auto" w:line="240" w:before="480" w:after="120"/>
    </w:pPr>
    <w:rPr>
      <w:b/>
      <w:sz w:val="48"/>
      <w:szCs w:val="48"/>
    </w:rPr>
  </w:style>
  <w:style w:type="paragraph" w:styleId="2">
    <w:name w:val="Heading 2"/>
    <w:basedOn w:val="LO-normal"/>
    <w:next w:val="LO-normal"/>
    <w:qFormat/>
    <w:pPr>
      <w:keepNext w:val="true"/>
      <w:keepLines/>
      <w:pageBreakBefore w:val="false"/>
      <w:spacing w:lineRule="auto" w:line="240" w:before="360" w:after="80"/>
    </w:pPr>
    <w:rPr>
      <w:b/>
      <w:sz w:val="36"/>
      <w:szCs w:val="36"/>
    </w:rPr>
  </w:style>
  <w:style w:type="paragraph" w:styleId="3">
    <w:name w:val="Heading 3"/>
    <w:basedOn w:val="LO-normal"/>
    <w:next w:val="LO-normal"/>
    <w:qFormat/>
    <w:pPr>
      <w:keepNext w:val="true"/>
      <w:keepLines/>
      <w:pageBreakBefore w:val="false"/>
      <w:spacing w:lineRule="auto" w:line="240" w:before="280" w:after="80"/>
    </w:pPr>
    <w:rPr>
      <w:b/>
      <w:sz w:val="28"/>
      <w:szCs w:val="28"/>
    </w:rPr>
  </w:style>
  <w:style w:type="paragraph" w:styleId="4">
    <w:name w:val="Heading 4"/>
    <w:basedOn w:val="LO-normal"/>
    <w:next w:val="LO-normal"/>
    <w:qFormat/>
    <w:pPr>
      <w:keepNext w:val="true"/>
      <w:keepLines/>
      <w:pageBreakBefore w:val="false"/>
      <w:spacing w:lineRule="auto" w:line="240" w:before="240" w:after="40"/>
    </w:pPr>
    <w:rPr>
      <w:b/>
      <w:sz w:val="24"/>
      <w:szCs w:val="24"/>
    </w:rPr>
  </w:style>
  <w:style w:type="paragraph" w:styleId="5">
    <w:name w:val="Heading 5"/>
    <w:basedOn w:val="LO-normal"/>
    <w:next w:val="LO-normal"/>
    <w:qFormat/>
    <w:pPr>
      <w:keepNext w:val="true"/>
      <w:keepLines/>
      <w:pageBreakBefore w:val="false"/>
      <w:spacing w:lineRule="auto" w:line="240" w:before="220" w:after="40"/>
    </w:pPr>
    <w:rPr>
      <w:b/>
      <w:sz w:val="22"/>
      <w:szCs w:val="22"/>
    </w:rPr>
  </w:style>
  <w:style w:type="paragraph" w:styleId="6">
    <w:name w:val="Heading 6"/>
    <w:basedOn w:val="LO-normal"/>
    <w:next w:val="LO-normal"/>
    <w:qFormat/>
    <w:pPr>
      <w:keepNext w:val="true"/>
      <w:keepLines/>
      <w:pageBreakBefore w:val="false"/>
      <w:spacing w:lineRule="auto" w:line="240" w:before="200" w:after="40"/>
    </w:pPr>
    <w:rPr>
      <w:b/>
      <w:sz w:val="20"/>
      <w:szCs w:val="20"/>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ru-RU" w:eastAsia="zh-CN" w:bidi="hi-IN"/>
    </w:rPr>
  </w:style>
  <w:style w:type="paragraph" w:styleId="Style13">
    <w:name w:val="Title"/>
    <w:basedOn w:val="LO-normal"/>
    <w:next w:val="LO-normal"/>
    <w:qFormat/>
    <w:pPr>
      <w:keepNext w:val="true"/>
      <w:keepLines/>
      <w:pageBreakBefore w:val="false"/>
      <w:spacing w:lineRule="auto" w:line="240" w:before="480" w:after="120"/>
    </w:pPr>
    <w:rPr>
      <w:b/>
      <w:sz w:val="72"/>
      <w:szCs w:val="72"/>
    </w:rPr>
  </w:style>
  <w:style w:type="paragraph" w:styleId="Style14">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HoDvGL2p0FffeovOD/NTGBfCtpA==">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3</Pages>
  <Words>839</Words>
  <Characters>6042</Characters>
  <CharactersWithSpaces>6878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2023-12-11T12:09:40Z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