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Ученые Росатома завершили важный этап испытаний топлива высокотемпературного газоохлаждаемого реактора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Экспериментально подтверждена работоспособность разработанной конструкции топлива ВТГР до проектных уровней выгорания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Ученые Росатома успешно завершили очередной этап реакторных испытаний лабораторных образцов топлива для высокотемпературного газоохлаждаемого реактора (ВТГР). Разработка ВТГР — ключевого элемента будущей атомной энерготехнологической станции для производства водорода, а также топлива и опытно-промышленной технологии его производства выполняется по заказу электроэнергетического дивизиона Росатома в рамках инвестиционного проекта по созданию отечественных технологий для крупномасштабного производства и потребления водорода и водородосодержащих продуктов.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Реакторные испытания лабораторных образцов топлива ВТГР, стартовавшие в начале 2022 года, ведутся параллельно на экспериментальных установках двух основных научных центров России по проведению реакторных исследований — в реакторе СМ-3 на площадке АО «ГНЦ НИИАР» (Димитровград, Ульяновская область, научный дивизион Росатома) и в реакторе ИВВ-2М на площадке АО «ИРМ» (Заречный, Свердловская область, также научный дивизион).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 концу 2023 года в реакторе ИВВ-2М одна из партий лабораторных образцов микротвэлов, разработанных и изготовленных АО «ВНИИНМ» (входит в топливную компанию Росатома — АО «ТВЭЛ»), и топливных компактов, разработанных и изготовленных АО «НИИ НПО „Луч“» (научный дивизион Росатома), достигла выгорания 11–12% тяжелых атомов. Это практически соответствует проектным значениям выгорания для топлива ВТГР. В ходе всего длительного цикла облучения лабораторных образцов температурные режимы топлива ВТГР поддерживались в диапазоне 1000–1200 °С, что соответствует требованиям, предъявляемым к условиям эксплуатации топлива ВТГР со стороны главного конструктора реакторной установки АО «ОКБМ Африкантов» (предприятие машиностроительного дивизиона Росатома).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По совокупности накопленных экспериментальных данных (в том числе получаемых в онлайн-режиме на протяжении всего реакторного эксперимента) специалисты Росатома принципиально подтвердили работоспособность разработанной конструкции топлива ВТГР (TRI-structural ISOtropic particle fuel, TRISO-топливо) — многослойное покрытие сферического топливного сердечника надежно удерживает внутри керамической матрицы образующиеся в ходе деления ядерного топлива газообразные продукты деления. В программе работ на 2024–2025 гг. запланировано проведение на экспериментальных площадках научного дивизиона Росатома комплекса послереакторных исследований облученных образцов топлива ВТГР, а также реакторных экспериментов в предельных и аварийных режимах его эксплуатации.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Специалисты Росатома учли полученные результаты экспериментальных исследований топлива при разработке технического проекта ВТГР (выполнены сотрудниками АО «ОКБМ Африкантов» в конце 2023 года) и при разработке опытно-промышленной технологии производства топлива ВТГР.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Предполагается, что уже в 2025 году специалисты АО «НИИ НПО „Луч“» приступят к отработке и апробации разрабатываемой по заказу электроэнергетического дивизиона технологии производства топлива с использованием технологической цепочки, сопоставимой по производительности и составу оборудования с будущей опытно-промышленной цепочкой завода по производству топлива ВТГР.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</w:rPr>
        <w:t>Водородная энергетика</w:t>
      </w:r>
      <w:r>
        <w:rPr/>
        <w:t> — одно из приоритетных направлений научно-технологического развития Госкорпорации «Росатом». Госкорпорация «Росатом», один из технологических лидеров мировой экономики, поддерживает глобальную экологическую повестку перехода на низкоуглеродные технологии и реализует стратегическую программу по развитию водородной энергетики в России, которая включает развитие собственных технологических компетенций на всей цепочке поставок водорода и водородосодержащих продуктов, начиная от перспективных методов его производства, таких как электролиз, и заканчивая хранением и транспортировкой до локальных и зарубежных потребителей. Крупнейшие предприятия Росатома сегодня разрабатывают эффективные и конкурентоспособные на международном уровне решения в этой области, в том числе новые передовые электролизные системы.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>
          <w:b/>
        </w:rPr>
        <w:t>Электроэнергетический дивизион Госкорпорации «Росатом»</w:t>
      </w:r>
      <w:r>
        <w:rPr/>
        <w:t> (АО «Концерн Росэнергоатом») с 2021 года реализует масштабный инвестиционный проект по разработке технологий водородной энергетики для крупномасштабного производства и потребления водорода и водородосодержащих продуктов. В рамках комплексного проекта ведется разработка технологических решений для создания атомной энерготехнологической станции (АЭТС) с высокотемпературным газоохлаждаемым реактором (ВТГР) и химико-технологической частью (ХТЧ) для производства водорода (включая разработку технологии производства топлива ВТГР и технологии конверсии метана), разработка линейки высокоэффективных электролизных установок, топливных элементов, систем хранения и транспортировки водорода, а также проводятся исследования по системному обеспечению функционирования и безопасности водородной энергетики.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>
          <w:b/>
        </w:rPr>
        <w:t>Работа научного дивизиона Госкорпорации «Росатом»</w:t>
      </w:r>
      <w:r>
        <w:rPr/>
        <w:t> связана с инновационным развитием и технологическим лидерством Госкорпорации. Среди его основных задач до 2030 года —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— </w:t>
      </w:r>
      <w:r>
        <w:rPr>
          <w:b/>
        </w:rPr>
        <w:t>АО «Наука и инновации»</w:t>
      </w:r>
      <w:r>
        <w:rPr/>
        <w:t> —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Инновационные технологии Госкорпорации «Росатом» основаны на передовых достижениях российской атомной науки.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uoyCvaTijGxADYRguuU6kKbQlQ==">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688</Words>
  <Characters>5544</Characters>
  <CharactersWithSpaces>6232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2024-02-14T14:14:00Z</dcterms:created>
  <dc:creator>b v</dc:creator>
  <dc:description/>
  <dc:language>ru-RU</dc:language>
  <cp:lastModifiedBy/>
  <dcterms:modified xsi:type="dcterms:W3CDTF">2024-02-16T13:31:52Z</dcterms:modified>
  <cp:revision>1</cp:revision>
  <dc:subject/>
  <dc:title/>
</cp:coreProperties>
</file>