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76"/>
        <w:rPr>
          <w:rFonts w:ascii="Arial" w:hAnsi="Arial" w:eastAsia="Arial" w:cs="Arial"/>
          <w:color w:val="000000"/>
          <w:sz w:val="22"/>
          <w:szCs w:val="22"/>
        </w:rPr>
      </w:pPr>
      <w:r>
        <w:rPr>
          <w:rFonts w:eastAsia="Arial" w:cs="Arial" w:ascii="Arial" w:hAnsi="Arial"/>
          <w:color w:val="000000"/>
          <w:sz w:val="22"/>
          <w:szCs w:val="22"/>
        </w:rPr>
      </w:r>
    </w:p>
    <w:tbl>
      <w:tblPr>
        <w:tblStyle w:val="Table1"/>
        <w:tblpPr w:bottomFromText="0" w:horzAnchor="text" w:leftFromText="180" w:rightFromText="180" w:tblpX="-142" w:tblpY="0" w:topFromText="0" w:vertAnchor="text"/>
        <w:tblW w:w="10774" w:type="dxa"/>
        <w:jc w:val="left"/>
        <w:tblInd w:w="0" w:type="dxa"/>
        <w:tblLayout w:type="fixed"/>
        <w:tblCellMar>
          <w:top w:w="0" w:type="dxa"/>
          <w:left w:w="108" w:type="dxa"/>
          <w:bottom w:w="0" w:type="dxa"/>
          <w:right w:w="108" w:type="dxa"/>
        </w:tblCellMar>
        <w:tblLook w:val="0400"/>
      </w:tblPr>
      <w:tblGrid>
        <w:gridCol w:w="1518"/>
        <w:gridCol w:w="4120"/>
        <w:gridCol w:w="5136"/>
      </w:tblGrid>
      <w:tr>
        <w:trPr/>
        <w:tc>
          <w:tcPr>
            <w:tcW w:w="1518" w:type="dxa"/>
            <w:tcBorders/>
          </w:tcPr>
          <w:p>
            <w:pPr>
              <w:pStyle w:val="Normal"/>
              <w:widowControl w:val="false"/>
              <w:ind w:right="560" w:hanging="0"/>
              <w:rPr>
                <w:sz w:val="28"/>
                <w:szCs w:val="28"/>
              </w:rPr>
            </w:pPr>
            <w:r>
              <w:rPr>
                <w:sz w:val="28"/>
                <w:szCs w:val="28"/>
              </w:rPr>
              <w:drawing>
                <wp:anchor behindDoc="0" distT="0" distB="0" distL="114300" distR="114300" simplePos="0" locked="0" layoutInCell="1" allowOverlap="1" relativeHeight="2">
                  <wp:simplePos x="0" y="0"/>
                  <wp:positionH relativeFrom="column">
                    <wp:posOffset>20955</wp:posOffset>
                  </wp:positionH>
                  <wp:positionV relativeFrom="paragraph">
                    <wp:posOffset>43180</wp:posOffset>
                  </wp:positionV>
                  <wp:extent cx="621665" cy="62039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21665" cy="620395"/>
                          </a:xfrm>
                          <a:prstGeom prst="rect">
                            <a:avLst/>
                          </a:prstGeom>
                        </pic:spPr>
                      </pic:pic>
                    </a:graphicData>
                  </a:graphic>
                </wp:anchor>
              </w:drawing>
            </w:r>
          </w:p>
        </w:tc>
        <w:tc>
          <w:tcPr>
            <w:tcW w:w="4120" w:type="dxa"/>
            <w:tcBorders/>
          </w:tcPr>
          <w:p>
            <w:pPr>
              <w:pStyle w:val="Normal"/>
              <w:widowControl w:val="false"/>
              <w:ind w:right="560" w:hanging="0"/>
              <w:rPr>
                <w:sz w:val="28"/>
                <w:szCs w:val="28"/>
              </w:rPr>
            </w:pPr>
            <w:r>
              <w:rPr>
                <w:sz w:val="28"/>
                <w:szCs w:val="28"/>
              </w:rPr>
              <w:t>Медиацентр атомной</w:t>
            </w:r>
          </w:p>
          <w:p>
            <w:pPr>
              <w:pStyle w:val="Normal"/>
              <w:widowControl w:val="false"/>
              <w:ind w:right="560" w:hanging="0"/>
              <w:rPr>
                <w:sz w:val="28"/>
                <w:szCs w:val="28"/>
              </w:rPr>
            </w:pPr>
            <w:r>
              <w:rPr>
                <w:sz w:val="28"/>
                <w:szCs w:val="28"/>
              </w:rPr>
              <w:t>промышленности</w:t>
              <w:br/>
            </w:r>
            <w:hyperlink r:id="rId3">
              <w:r>
                <w:rPr>
                  <w:color w:val="0563C1"/>
                  <w:sz w:val="28"/>
                  <w:szCs w:val="28"/>
                  <w:u w:val="single"/>
                </w:rPr>
                <w:t>atommedia.online</w:t>
              </w:r>
            </w:hyperlink>
          </w:p>
        </w:tc>
        <w:tc>
          <w:tcPr>
            <w:tcW w:w="5136" w:type="dxa"/>
            <w:tcBorders/>
          </w:tcPr>
          <w:p>
            <w:pPr>
              <w:pStyle w:val="Normal"/>
              <w:widowControl w:val="false"/>
              <w:ind w:right="560" w:hanging="0"/>
              <w:jc w:val="right"/>
              <w:rPr>
                <w:b/>
                <w:sz w:val="28"/>
                <w:szCs w:val="28"/>
              </w:rPr>
            </w:pPr>
            <w:r>
              <w:rPr>
                <w:b/>
                <w:sz w:val="28"/>
                <w:szCs w:val="28"/>
              </w:rPr>
              <w:t>Пресс-релиз</w:t>
            </w:r>
          </w:p>
          <w:p>
            <w:pPr>
              <w:pStyle w:val="Normal"/>
              <w:widowControl w:val="false"/>
              <w:ind w:right="560" w:hanging="0"/>
              <w:jc w:val="right"/>
              <w:rPr>
                <w:sz w:val="28"/>
                <w:szCs w:val="28"/>
              </w:rPr>
            </w:pPr>
            <w:r>
              <w:rPr>
                <w:sz w:val="28"/>
                <w:szCs w:val="28"/>
              </w:rPr>
              <w:t>02.04.24</w:t>
            </w:r>
          </w:p>
        </w:tc>
      </w:tr>
    </w:tbl>
    <w:p>
      <w:pPr>
        <w:pStyle w:val="Normal"/>
        <w:rPr>
          <w:sz w:val="28"/>
          <w:szCs w:val="28"/>
        </w:rPr>
      </w:pPr>
      <w:r>
        <w:rPr>
          <w:sz w:val="28"/>
          <w:szCs w:val="28"/>
        </w:rPr>
        <w:t xml:space="preserve"> </w:t>
      </w:r>
    </w:p>
    <w:p>
      <w:pPr>
        <w:pStyle w:val="Normal"/>
        <w:spacing w:lineRule="auto" w:line="276"/>
        <w:jc w:val="center"/>
        <w:rPr>
          <w:b/>
          <w:sz w:val="28"/>
          <w:szCs w:val="28"/>
        </w:rPr>
      </w:pPr>
      <w:r>
        <w:rPr>
          <w:b/>
          <w:sz w:val="28"/>
          <w:szCs w:val="28"/>
        </w:rPr>
        <w:t>Начался отбор школьников в пятую научную экспедицию к Северному полюсу</w:t>
      </w:r>
    </w:p>
    <w:p>
      <w:pPr>
        <w:pStyle w:val="Normal"/>
        <w:spacing w:lineRule="auto" w:line="276"/>
        <w:jc w:val="center"/>
        <w:rPr>
          <w:i/>
          <w:i/>
        </w:rPr>
      </w:pPr>
      <w:r>
        <w:rPr>
          <w:i/>
        </w:rPr>
        <w:t>«Ледокол знаний» будет в пути 10 дней, участники преодолеют 1 230 морских миль</w:t>
      </w:r>
    </w:p>
    <w:p>
      <w:pPr>
        <w:pStyle w:val="Normal"/>
        <w:spacing w:lineRule="auto" w:line="276"/>
        <w:rPr/>
      </w:pPr>
      <w:r>
        <w:rPr/>
      </w:r>
    </w:p>
    <w:p>
      <w:pPr>
        <w:pStyle w:val="Normal"/>
        <w:spacing w:lineRule="auto" w:line="276"/>
        <w:rPr/>
      </w:pPr>
      <w:r>
        <w:rPr/>
        <w:t>2 апреля 2024 года состоялась пресс-конференция, посвященная старту нового сезона научно-просветительского проекта «Ледокол знаний». В мероприятии приняли участие заместитель директора департамента коммуникаций Госкорпорации «Росатом» Константин Рудер, заместитель генерального директора Российского общества «Знание» Дмитрий Рыбальченко, капитан атомного ледокола «50 лет Победы» ФГУП «Атомфлот» Руслан Сасов и студентка НИЯУ МИФИ, участница проекта «Ледокол знаний — 2022» Полина Бринза. </w:t>
      </w:r>
    </w:p>
    <w:p>
      <w:pPr>
        <w:pStyle w:val="Normal"/>
        <w:spacing w:lineRule="auto" w:line="276"/>
        <w:rPr/>
      </w:pPr>
      <w:r>
        <w:rPr/>
      </w:r>
    </w:p>
    <w:p>
      <w:pPr>
        <w:pStyle w:val="Normal"/>
        <w:spacing w:lineRule="auto" w:line="276"/>
        <w:rPr/>
      </w:pPr>
      <w:r>
        <w:rPr/>
        <w:t xml:space="preserve">В 2024 году арктическая экспедиция Росатома приурочена к 65-летию атомного ледокольного флота. За пять лет существования проекта в нем приняли участие более 300 одаренных школьников — победителей множества конкурсов и проектов — из разных регионов России.  В этом году по итогам открытого отбора к арктической экспедиции Росатома присоединятся 12 школьников. В проекте могут принять участие школьники и студенты колледжей в возрасте от 14 до 16 лет. Для этого им нужно зарегистрироваться на сайте </w:t>
      </w:r>
      <w:hyperlink r:id="rId4">
        <w:r>
          <w:rPr>
            <w:color w:val="1155CC"/>
            <w:u w:val="single"/>
          </w:rPr>
          <w:t>polus.atom.online</w:t>
        </w:r>
      </w:hyperlink>
      <w:r>
        <w:rPr/>
        <w:t xml:space="preserve"> до 7 мая 2024 года и пройти все отборочные этапы. </w:t>
      </w:r>
    </w:p>
    <w:p>
      <w:pPr>
        <w:pStyle w:val="Normal"/>
        <w:spacing w:lineRule="auto" w:line="276"/>
        <w:rPr/>
      </w:pPr>
      <w:r>
        <w:rPr/>
      </w:r>
    </w:p>
    <w:p>
      <w:pPr>
        <w:pStyle w:val="Normal"/>
        <w:spacing w:lineRule="auto" w:line="276"/>
        <w:rPr>
          <w:b/>
        </w:rPr>
      </w:pPr>
      <w:r>
        <w:rPr/>
        <w:t>«Просветительский проект „Ледокол знаний“, который реализуется уже пятый год, дает возможность талантливым и активным ребятам, победителям международных олимпиад, совершить незабываемое путешествие на атомном ледоколе на Северный полюс. В экспедиции участвуют и учителя, они проводят для школьников мастер-классы и лекции. В прошлом году, объявленном Годом педагога и наставника, самый северный урок истории на ледоколе провел победитель конкурса „Учитель года России — 2022“ Дмитрий Лутовинов вместе с капитаном атомного судна Дмитрием Лобусовым. Это занятие вошло в Книгу рекордов России. Также при поддержке Минпросвещения России и Росатома в школах проводится „Атомный урок“, который знакомит ребят с атомными технологиями. За четыре сезона подобные занятия прошли в 40 тыс. школ по всей стране. В них приняли участие более 10 млн школьников», — отметил первый заместитель министра просвещения Российской Федерации </w:t>
      </w:r>
      <w:r>
        <w:rPr>
          <w:b/>
        </w:rPr>
        <w:t>Александр Бугаев.</w:t>
      </w:r>
    </w:p>
    <w:p>
      <w:pPr>
        <w:pStyle w:val="Normal"/>
        <w:spacing w:lineRule="auto" w:line="276"/>
        <w:rPr/>
      </w:pPr>
      <w:r>
        <w:rPr/>
      </w:r>
    </w:p>
    <w:p>
      <w:pPr>
        <w:pStyle w:val="Normal"/>
        <w:spacing w:lineRule="auto" w:line="276"/>
        <w:rPr>
          <w:b/>
        </w:rPr>
      </w:pPr>
      <w:r>
        <w:rPr/>
        <w:t>«С Госкорпорацией „Росатом“ нас объединяет давнее качественное сотрудничество, и для Российского общества „Знание“ большая честь выступить партнером нового сезона „Ледокола знаний“. В рамках проекта мы запланировали обширную образовательную программу. Помимо кинопоказа на самом ледоколе, организации и записи лекций из самого северного лектория в мире, где выступят ведущие эксперты из разных отраслей, мы снимем увлекательный документальный реалити-сериал. Он расскажет зрителям о жизни в Арктике и позволит прочувствовать атмосферу экспедиции, в которую, я уверен, мечтают попасть многие. Кстати, путешествие на „Ледоколе знаний“ станет специальным призом для победителя нашего проекта „Знание.Игра“. Его имя мы узнаем только после финальных игр, которые пройдут этой весной», — поделился заместитель генерального директора Российского общества «Знание» </w:t>
      </w:r>
      <w:r>
        <w:rPr>
          <w:b/>
        </w:rPr>
        <w:t>Дмитрий Рыбальченко.</w:t>
      </w:r>
    </w:p>
    <w:p>
      <w:pPr>
        <w:pStyle w:val="Normal"/>
        <w:spacing w:lineRule="auto" w:line="276"/>
        <w:rPr/>
      </w:pPr>
      <w:r>
        <w:rPr/>
      </w:r>
    </w:p>
    <w:p>
      <w:pPr>
        <w:pStyle w:val="Normal"/>
        <w:spacing w:lineRule="auto" w:line="276"/>
        <w:rPr/>
      </w:pPr>
      <w:r>
        <w:rPr/>
        <w:t>Экспедиция «Ледокол знаний» продлится 10 дней. Ориентировочно спустя четыре дня после выхода из порта Мурманска атомоход достигнет Северного полюса. За это время атомный ледокол преодолеет 1230 миль. На обратном пути экипаж постарается максимально продемонстрировать красоту архипелага Земля Франца-Иосифа.</w:t>
      </w:r>
    </w:p>
    <w:p>
      <w:pPr>
        <w:pStyle w:val="Normal"/>
        <w:spacing w:lineRule="auto" w:line="276"/>
        <w:rPr/>
      </w:pPr>
      <w:r>
        <w:rPr/>
        <w:t> </w:t>
      </w:r>
    </w:p>
    <w:p>
      <w:pPr>
        <w:pStyle w:val="Normal"/>
        <w:spacing w:lineRule="auto" w:line="276"/>
        <w:rPr/>
      </w:pPr>
      <w:r>
        <w:rPr>
          <w:b/>
        </w:rPr>
        <w:t>Справка:  </w:t>
      </w:r>
    </w:p>
    <w:p>
      <w:pPr>
        <w:pStyle w:val="Normal"/>
        <w:spacing w:lineRule="auto" w:line="276"/>
        <w:rPr/>
      </w:pPr>
      <w:r>
        <w:rPr/>
      </w:r>
    </w:p>
    <w:p>
      <w:pPr>
        <w:pStyle w:val="Normal"/>
        <w:spacing w:lineRule="auto" w:line="276"/>
        <w:rPr/>
      </w:pPr>
      <w:r>
        <w:rPr/>
        <w:t>Проект «Ледокол знаний» направлен на популяризацию атомных технологий, поиск и поддержку талантливых и одаренных детей, развитие их способностей и профориентацию. Проект организован сетью Информационных центров по атомной энергии (ИЦАЭ) при поддержке Госкорпорации «Росатом». </w:t>
      </w:r>
    </w:p>
    <w:p>
      <w:pPr>
        <w:pStyle w:val="Normal"/>
        <w:spacing w:lineRule="auto" w:line="276"/>
        <w:rPr/>
      </w:pPr>
      <w:r>
        <w:rPr>
          <w:b/>
        </w:rPr>
        <w:t> </w:t>
      </w:r>
    </w:p>
    <w:p>
      <w:pPr>
        <w:pStyle w:val="Normal"/>
        <w:spacing w:lineRule="auto" w:line="276"/>
        <w:rPr/>
      </w:pPr>
      <w:r>
        <w:rPr/>
        <w:t xml:space="preserve">В 2024 году, помимо интеллектуального тестирования на сайте проекта </w:t>
      </w:r>
      <w:hyperlink r:id="rId5">
        <w:r>
          <w:rPr>
            <w:color w:val="1155CC"/>
            <w:u w:val="single"/>
          </w:rPr>
          <w:t>polus.atom.online</w:t>
        </w:r>
      </w:hyperlink>
      <w:r>
        <w:rPr/>
        <w:t>, появятся новые этапы отборочных мероприятий — очные полуфиналы в федеральных округах, где участникам предстоит решить реальные индустриальные кейсы, связанные с атомной отраслью. В финале проекта, который пройдет июне 2024 года в павильоне «Атом» на ВДНХ, встретятся команды, представляющие федеральный округ.</w:t>
      </w:r>
    </w:p>
    <w:p>
      <w:pPr>
        <w:pStyle w:val="Normal"/>
        <w:spacing w:lineRule="auto" w:line="276"/>
        <w:rPr/>
      </w:pPr>
      <w:r>
        <w:rPr/>
        <w:t> </w:t>
      </w:r>
    </w:p>
    <w:p>
      <w:pPr>
        <w:pStyle w:val="Normal"/>
        <w:spacing w:lineRule="auto" w:line="276"/>
        <w:rPr/>
      </w:pPr>
      <w:r>
        <w:rPr/>
        <w:t>Финалистов проекта ждет насыщенная образовательная программа: лекции, мастер-классы, научные игры, кинопоказы и многое другое. Несколько уникальных форматов на борту представит Российское общество «Знание» — интеллектуальный партнер проекта. Программа Российского общества «Знание» в рамках рейса «Ледокола знаний» станет самым северным лекторием в мире.</w:t>
      </w:r>
    </w:p>
    <w:p>
      <w:pPr>
        <w:pStyle w:val="Normal"/>
        <w:spacing w:lineRule="auto" w:line="276"/>
        <w:rPr/>
      </w:pPr>
      <w:r>
        <w:rPr/>
        <w:t> </w:t>
      </w:r>
    </w:p>
    <w:p>
      <w:pPr>
        <w:pStyle w:val="Normal"/>
        <w:spacing w:lineRule="auto" w:line="276"/>
        <w:rPr/>
      </w:pPr>
      <w:r>
        <w:rPr/>
        <w:t>Среди других участников экспедиции  к Северному полюсу: финалисты всероссийского конкурса «Большая перемена»; участники движения «Юниоры Росатома», победительница просветительского проекта «Атомный урок — 2023» Лидия Селиверстова и ее ученица; победитель Всероссийского конкурса «Учитель года России — 2023» Олег Янковский; победитель Всероссийского конкурса педагогических достижений «Мастер года — 2023» Иван Зарубин и другие участники международных, федеральных, региональных и отраслевых отборочных мероприятий.</w:t>
      </w:r>
    </w:p>
    <w:p>
      <w:pPr>
        <w:pStyle w:val="Normal"/>
        <w:spacing w:lineRule="auto" w:line="276"/>
        <w:rPr/>
      </w:pPr>
      <w:r>
        <w:rPr/>
        <w:t> </w:t>
      </w:r>
    </w:p>
    <w:p>
      <w:pPr>
        <w:pStyle w:val="Normal"/>
        <w:spacing w:lineRule="auto" w:line="276"/>
        <w:rPr/>
      </w:pPr>
      <w:r>
        <w:rPr/>
        <w:t>Специально для популяризации знаний о достижениях атомной отрасли в середине апреля станет доступно мини-приложение VK — уникальная игра, которая познакомит молодежную аудиторию с основными сферами деятельности, технологиями и приоритетами развития атомной отрасли России: цифровыми и квантовыми технологиями, ядерной медициной, новыми материалами, безуглеродной энергией, атомным ледокольным флотом. Мини-приложение будет доступно всем пользователям социальной сети, найти его можно будет в разделе «Сервисы». Участие в игре является дополнительным интерактивным форматом проекта, вовлекающим пользователей в основной этап.</w:t>
      </w:r>
    </w:p>
    <w:p>
      <w:pPr>
        <w:pStyle w:val="Normal"/>
        <w:spacing w:lineRule="auto" w:line="276"/>
        <w:rPr/>
      </w:pPr>
      <w:r>
        <w:rPr>
          <w:b/>
        </w:rPr>
        <w:t> </w:t>
      </w:r>
    </w:p>
    <w:p>
      <w:pPr>
        <w:pStyle w:val="Normal"/>
        <w:spacing w:lineRule="auto" w:line="276"/>
        <w:rPr/>
      </w:pPr>
      <w:r>
        <w:rPr/>
        <w:t>Госкорпорацией «Росатом» реализуются мероприятия, направленные на профессиональную ориентацию молодежи, повышение престижности инженерных профессий, включая проведение конкурсов профессионального мастерства и прохождение производственной практики на площадке и судах предприятия.</w:t>
      </w:r>
    </w:p>
    <w:p>
      <w:pPr>
        <w:pStyle w:val="Normal"/>
        <w:spacing w:lineRule="auto" w:line="276"/>
        <w:rPr/>
      </w:pPr>
      <w:r>
        <w:rPr/>
        <w:t> </w:t>
      </w:r>
    </w:p>
    <w:p>
      <w:pPr>
        <w:pStyle w:val="Normal"/>
        <w:spacing w:lineRule="auto" w:line="276"/>
        <w:rPr/>
      </w:pPr>
      <w:r>
        <w:rPr/>
        <w:t>Россия планирует собственное будущее, исходя из новых возможностей. Диалог с молодежью является одним из ключевых приоритетов государства. Предприятия госсектора также уделяют большое внимание работе с молодыми сотрудниками, а также школьниками и студентами, которые в скором времени могут стать их работниками. Не менее важное значение имеет повышение престижа рабочих профессий в целом.</w:t>
      </w:r>
    </w:p>
    <w:p>
      <w:pPr>
        <w:pStyle w:val="Normal"/>
        <w:spacing w:lineRule="auto" w:line="276"/>
        <w:rPr/>
      </w:pPr>
      <w:r>
        <w:rPr/>
        <w:t xml:space="preserve"> </w:t>
      </w:r>
    </w:p>
    <w:p>
      <w:pPr>
        <w:pStyle w:val="Normal"/>
        <w:ind w:right="560" w:hanging="0"/>
        <w:rPr>
          <w:sz w:val="28"/>
          <w:szCs w:val="28"/>
        </w:rPr>
      </w:pPr>
      <w:r>
        <w:rPr/>
      </w:r>
    </w:p>
    <w:sectPr>
      <w:footerReference w:type="default" r:id="rId6"/>
      <w:type w:val="nextPage"/>
      <w:pgSz w:w="12240" w:h="15840"/>
      <w:pgMar w:left="1134" w:right="1134" w:gutter="0" w:header="0" w:top="454"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Georgia">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80" w:leader="none"/>
        <w:tab w:val="right" w:pos="9360" w:leader="none"/>
      </w:tabs>
      <w:rPr>
        <w:color w:val="595959"/>
      </w:rPr>
    </w:pPr>
    <w:r>
      <w:rPr>
        <w:color w:val="595959"/>
      </w:rPr>
    </w:r>
  </w:p>
  <w:p>
    <w:pPr>
      <w:pStyle w:val="Normal"/>
      <w:tabs>
        <w:tab w:val="clear" w:pos="720"/>
        <w:tab w:val="center" w:pos="4680" w:leader="none"/>
        <w:tab w:val="right" w:pos="9360" w:leader="none"/>
      </w:tabs>
      <w:rPr>
        <w:i/>
        <w:i/>
        <w:color w:val="595959"/>
      </w:rPr>
    </w:pPr>
    <w:r>
      <w:rPr>
        <w:i/>
        <w:color w:val="595959"/>
      </w:rPr>
      <w:t>Департамент коммуникаций Госкорпорации «Росатом»</w:t>
    </w:r>
  </w:p>
</w:ft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ru-RU" w:eastAsia="zh-CN" w:bidi="hi-IN"/>
      </w:rPr>
    </w:rPrDefault>
    <w:pPrDefault>
      <w:pPr>
        <w:suppressAutoHyphens w:val="true"/>
      </w:pPr>
    </w:pPrDefault>
  </w:docDefaults>
  <w:style w:type="paragraph" w:styleId="Normal" w:default="1">
    <w:name w:val="Normal"/>
    <w:qFormat/>
    <w:pPr>
      <w:widowControl/>
      <w:suppressAutoHyphens w:val="true"/>
      <w:bidi w:val="0"/>
      <w:spacing w:before="0" w:after="0"/>
      <w:jc w:val="left"/>
    </w:pPr>
    <w:rPr>
      <w:rFonts w:ascii="Calibri" w:hAnsi="Calibri" w:eastAsia="Calibri" w:cs="Calibri"/>
      <w:color w:val="auto"/>
      <w:kern w:val="0"/>
      <w:sz w:val="24"/>
      <w:szCs w:val="24"/>
      <w:lang w:val="ru-RU" w:eastAsia="zh-CN" w:bidi="hi-IN"/>
    </w:rPr>
  </w:style>
  <w:style w:type="paragraph" w:styleId="1">
    <w:name w:val="Heading 1"/>
    <w:basedOn w:val="Normal"/>
    <w:next w:val="Normal"/>
    <w:uiPriority w:val="9"/>
    <w:qFormat/>
    <w:pPr>
      <w:keepNext w:val="true"/>
      <w:keepLines/>
      <w:spacing w:before="480" w:after="120"/>
      <w:outlineLvl w:val="0"/>
    </w:pPr>
    <w:rPr>
      <w:b/>
      <w:sz w:val="48"/>
      <w:szCs w:val="48"/>
    </w:rPr>
  </w:style>
  <w:style w:type="paragraph" w:styleId="2">
    <w:name w:val="Heading 2"/>
    <w:basedOn w:val="Normal"/>
    <w:next w:val="Normal"/>
    <w:uiPriority w:val="9"/>
    <w:semiHidden/>
    <w:unhideWhenUsed/>
    <w:qFormat/>
    <w:pPr>
      <w:keepNext w:val="true"/>
      <w:keepLines/>
      <w:spacing w:before="360" w:after="80"/>
      <w:outlineLvl w:val="1"/>
    </w:pPr>
    <w:rPr>
      <w:b/>
      <w:sz w:val="36"/>
      <w:szCs w:val="36"/>
    </w:rPr>
  </w:style>
  <w:style w:type="paragraph" w:styleId="3">
    <w:name w:val="Heading 3"/>
    <w:basedOn w:val="Normal"/>
    <w:next w:val="Normal"/>
    <w:uiPriority w:val="9"/>
    <w:semiHidden/>
    <w:unhideWhenUsed/>
    <w:qFormat/>
    <w:pPr>
      <w:keepNext w:val="true"/>
      <w:keepLines/>
      <w:spacing w:before="280" w:after="80"/>
      <w:outlineLvl w:val="2"/>
    </w:pPr>
    <w:rPr>
      <w:b/>
      <w:sz w:val="28"/>
      <w:szCs w:val="28"/>
    </w:rPr>
  </w:style>
  <w:style w:type="paragraph" w:styleId="4">
    <w:name w:val="Heading 4"/>
    <w:basedOn w:val="Normal"/>
    <w:next w:val="Normal"/>
    <w:uiPriority w:val="9"/>
    <w:semiHidden/>
    <w:unhideWhenUsed/>
    <w:qFormat/>
    <w:pPr>
      <w:keepNext w:val="true"/>
      <w:keepLines/>
      <w:spacing w:before="240" w:after="40"/>
      <w:outlineLvl w:val="3"/>
    </w:pPr>
    <w:rPr>
      <w:b/>
    </w:rPr>
  </w:style>
  <w:style w:type="paragraph" w:styleId="5">
    <w:name w:val="Heading 5"/>
    <w:basedOn w:val="Normal"/>
    <w:next w:val="Normal"/>
    <w:uiPriority w:val="9"/>
    <w:semiHidden/>
    <w:unhideWhenUsed/>
    <w:qFormat/>
    <w:pPr>
      <w:keepNext w:val="true"/>
      <w:keepLines/>
      <w:spacing w:before="220" w:after="40"/>
      <w:outlineLvl w:val="4"/>
    </w:pPr>
    <w:rPr>
      <w:b/>
      <w:sz w:val="22"/>
      <w:szCs w:val="22"/>
    </w:rPr>
  </w:style>
  <w:style w:type="paragraph" w:styleId="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
    <w:name w:val="Hyperlink"/>
    <w:basedOn w:val="DefaultParagraphFont"/>
    <w:uiPriority w:val="99"/>
    <w:unhideWhenUsed/>
    <w:rsid w:val="00c56287"/>
    <w:rPr>
      <w:color w:val="0563C1" w:themeColor="hyperlink"/>
      <w:u w:val="single"/>
    </w:rPr>
  </w:style>
  <w:style w:type="character" w:styleId="UnresolvedMention">
    <w:name w:val="Unresolved Mention"/>
    <w:basedOn w:val="DefaultParagraphFont"/>
    <w:uiPriority w:val="99"/>
    <w:semiHidden/>
    <w:unhideWhenUsed/>
    <w:qFormat/>
    <w:rsid w:val="00c56287"/>
    <w:rPr>
      <w:color w:val="605E5C"/>
      <w:shd w:fill="E1DFDD" w:val="clear"/>
    </w:rPr>
  </w:style>
  <w:style w:type="character" w:styleId="Style8" w:customStyle="1">
    <w:name w:val="Верхний колонтитул Знак"/>
    <w:basedOn w:val="DefaultParagraphFont"/>
    <w:uiPriority w:val="99"/>
    <w:qFormat/>
    <w:rsid w:val="00c56287"/>
    <w:rPr/>
  </w:style>
  <w:style w:type="character" w:styleId="Style9" w:customStyle="1">
    <w:name w:val="Нижний колонтитул Знак"/>
    <w:basedOn w:val="DefaultParagraphFont"/>
    <w:uiPriority w:val="99"/>
    <w:qFormat/>
    <w:rsid w:val="00c56287"/>
    <w:rPr/>
  </w:style>
  <w:style w:type="character" w:styleId="Style10">
    <w:name w:val="FollowedHyperlink"/>
    <w:basedOn w:val="DefaultParagraphFont"/>
    <w:uiPriority w:val="99"/>
    <w:semiHidden/>
    <w:unhideWhenUsed/>
    <w:rsid w:val="00c56287"/>
    <w:rPr>
      <w:color w:val="954F72" w:themeColor="followedHyperlink"/>
      <w:u w:val="single"/>
    </w:rPr>
  </w:style>
  <w:style w:type="paragraph" w:styleId="Style11">
    <w:name w:val="Заголовок"/>
    <w:basedOn w:val="Normal"/>
    <w:next w:val="Style12"/>
    <w:qFormat/>
    <w:pPr>
      <w:keepNext w:val="true"/>
      <w:spacing w:before="240" w:after="120"/>
    </w:pPr>
    <w:rPr>
      <w:rFonts w:ascii="Calibri" w:hAnsi="Calibri"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Calibri" w:hAnsi="Calibri" w:cs="Arial"/>
    </w:rPr>
  </w:style>
  <w:style w:type="paragraph" w:styleId="Style14">
    <w:name w:val="Caption"/>
    <w:basedOn w:val="Normal"/>
    <w:qFormat/>
    <w:pPr>
      <w:suppressLineNumbers/>
      <w:spacing w:before="120" w:after="120"/>
    </w:pPr>
    <w:rPr>
      <w:rFonts w:ascii="Calibri" w:hAnsi="Calibri" w:cs="Arial"/>
      <w:i/>
      <w:iCs/>
      <w:sz w:val="24"/>
      <w:szCs w:val="24"/>
    </w:rPr>
  </w:style>
  <w:style w:type="paragraph" w:styleId="Style15">
    <w:name w:val="Указатель"/>
    <w:basedOn w:val="Normal"/>
    <w:qFormat/>
    <w:pPr>
      <w:suppressLineNumbers/>
    </w:pPr>
    <w:rPr>
      <w:rFonts w:ascii="Calibri" w:hAnsi="Calibri" w:cs="Arial"/>
    </w:rPr>
  </w:style>
  <w:style w:type="paragraph" w:styleId="LO-normal" w:default="1">
    <w:name w:val="LO-normal"/>
    <w:qFormat/>
    <w:pPr>
      <w:widowControl/>
      <w:suppressAutoHyphens w:val="true"/>
      <w:bidi w:val="0"/>
      <w:spacing w:before="0" w:after="0"/>
      <w:jc w:val="left"/>
    </w:pPr>
    <w:rPr>
      <w:rFonts w:ascii="Calibri" w:hAnsi="Calibri" w:eastAsia="Calibri" w:cs="Calibri"/>
      <w:color w:val="auto"/>
      <w:kern w:val="0"/>
      <w:sz w:val="24"/>
      <w:szCs w:val="24"/>
      <w:lang w:val="ru-RU" w:eastAsia="zh-CN" w:bidi="hi-IN"/>
    </w:rPr>
  </w:style>
  <w:style w:type="paragraph" w:styleId="Style16">
    <w:name w:val="Title"/>
    <w:basedOn w:val="Normal"/>
    <w:next w:val="Normal"/>
    <w:uiPriority w:val="10"/>
    <w:qFormat/>
    <w:pPr>
      <w:keepNext w:val="true"/>
      <w:keepLines/>
      <w:spacing w:before="480" w:after="120"/>
    </w:pPr>
    <w:rPr>
      <w:b/>
      <w:sz w:val="72"/>
      <w:szCs w:val="72"/>
    </w:rPr>
  </w:style>
  <w:style w:type="paragraph" w:styleId="Style17">
    <w:name w:val="Колонтитул"/>
    <w:basedOn w:val="Normal"/>
    <w:qFormat/>
    <w:pPr/>
    <w:rPr/>
  </w:style>
  <w:style w:type="paragraph" w:styleId="Style18">
    <w:name w:val="Header"/>
    <w:basedOn w:val="Normal"/>
    <w:link w:val="Style8"/>
    <w:uiPriority w:val="99"/>
    <w:unhideWhenUsed/>
    <w:rsid w:val="00c56287"/>
    <w:pPr>
      <w:tabs>
        <w:tab w:val="clear" w:pos="720"/>
        <w:tab w:val="center" w:pos="4680" w:leader="none"/>
        <w:tab w:val="right" w:pos="9360" w:leader="none"/>
      </w:tabs>
    </w:pPr>
    <w:rPr/>
  </w:style>
  <w:style w:type="paragraph" w:styleId="Style19">
    <w:name w:val="Footer"/>
    <w:basedOn w:val="Normal"/>
    <w:link w:val="Style9"/>
    <w:uiPriority w:val="99"/>
    <w:unhideWhenUsed/>
    <w:rsid w:val="00c56287"/>
    <w:pPr>
      <w:tabs>
        <w:tab w:val="clear" w:pos="720"/>
        <w:tab w:val="center" w:pos="4680" w:leader="none"/>
        <w:tab w:val="right" w:pos="9360" w:leader="none"/>
      </w:tabs>
    </w:pPr>
    <w:rPr/>
  </w:style>
  <w:style w:type="paragraph" w:styleId="Style20">
    <w:name w:val="Subtitle"/>
    <w:basedOn w:val="LO-normal"/>
    <w:next w:val="LO-normal"/>
    <w:uiPriority w:val="11"/>
    <w:qFormat/>
    <w:pPr>
      <w:keepNext w:val="true"/>
      <w:keepLines/>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ab">
    <w:name w:val="Table Grid"/>
    <w:basedOn w:val="a1"/>
    <w:uiPriority w:val="39"/>
    <w:rsid w:val="000776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tommedia.online/" TargetMode="External"/><Relationship Id="rId4" Type="http://schemas.openxmlformats.org/officeDocument/2006/relationships/hyperlink" Target="https://polus.atom.online/" TargetMode="External"/><Relationship Id="rId5" Type="http://schemas.openxmlformats.org/officeDocument/2006/relationships/hyperlink" Target="https://polus.atom.online/" TargetMode="Externa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DedtDgwg7R5iAUhnxLWHX0QH6Dg==">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3</Pages>
  <Words>771</Words>
  <Characters>5510</Characters>
  <CharactersWithSpaces>6289</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2024-04-02T13:08:00Z</dcterms:created>
  <dc:creator>b v</dc:creator>
  <dc:description/>
  <dc:language>ru-RU</dc:language>
  <cp:lastModifiedBy/>
  <dcterms:modified xsi:type="dcterms:W3CDTF">2024-04-02T18:06:21Z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