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shd w:fill="auto" w:val="clear"/>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20956</wp:posOffset>
                  </wp:positionH>
                  <wp:positionV relativeFrom="paragraph">
                    <wp:posOffset>43180</wp:posOffset>
                  </wp:positionV>
                  <wp:extent cx="621665" cy="62039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shd w:fill="auto" w:val="clear"/>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shd w:fill="auto" w:val="clear"/>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3.03.25</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Технологии «Росатома» помогают создать современную систему управления парковками в Саратове</w:t>
      </w:r>
    </w:p>
    <w:p w:rsidR="00000000" w:rsidDel="00000000" w:rsidP="00000000" w:rsidRDefault="00000000" w:rsidRPr="00000000" w14:paraId="00000009">
      <w:pPr>
        <w:jc w:val="center"/>
        <w:rPr>
          <w:i w:val="1"/>
        </w:rPr>
      </w:pPr>
      <w:r w:rsidDel="00000000" w:rsidR="00000000" w:rsidRPr="00000000">
        <w:rPr>
          <w:i w:val="1"/>
          <w:rtl w:val="0"/>
        </w:rPr>
        <w:t xml:space="preserve">Проект реализуется в рамках городской программы развития инфраструктуры</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АО «Росатом Инфраструктурные решения» (РИР, входит в госкорпорацию «Росатом») совместно с администрацией Саратова создает городскую систему управления парковочным пространством. РИР выступает в качестве производителя оборудования, разработчика программного обеспечения и эксперта по внедрению.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Проект включает в себя различные подсистемы, специализированное оборудование, программное обеспечение, программно-аппаратные комплексы с камерами, сайт, парковочное приложение. Все программные и аппаратные комплексы отечественной разработки и включены в Реестр российского программного обеспечения и радиоэлектронной продукции. В рамках создания системы установлены собственные комплексы фотовидеофиксации нарушений ПДД и мониторинга автотранспорта, дорожные знаки, информационные таблички, нанесена дорожная разметка и внедрена Автоматизированная информационная система по организации, управлению, контролю и администрированию платных парковок города Саратова.</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Проект запущен в рамках городской программы по улучшению инфраструктуры и повышения качества жизни жителей. Работы выполняет дочерняя компания РИР «Городские технологии», на счету которой десятки реализованных проектов в 23 городах России и СНГ с применением собственных разработок. Нововведение направлено на упорядочение парковочного пространства, снижение уровня пробок и создание комфортных условий для автомобилистов и пешеходов. Платные парковки будут внедрены в центральных районах города, где наблюдается высокая плотность транспортных средств.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Как отметил начальник городской дирекции транспорта и дорожной деятельности </w:t>
      </w:r>
      <w:r w:rsidDel="00000000" w:rsidR="00000000" w:rsidRPr="00000000">
        <w:rPr>
          <w:b w:val="1"/>
          <w:rtl w:val="0"/>
        </w:rPr>
        <w:t xml:space="preserve">Андрей Бондарев</w:t>
      </w:r>
      <w:r w:rsidDel="00000000" w:rsidR="00000000" w:rsidRPr="00000000">
        <w:rPr>
          <w:rtl w:val="0"/>
        </w:rPr>
        <w:t xml:space="preserve">, в Саратове остро стоит проблема с парковочными местами. Сейчас на одну тысячу жителей областного центра приходится 330 автомобилей. Особенно затруднительно найти свободное место для автомобиля в центре города. Среди основных целей проекта – рост доступности парковочных мест; сокращение нагрузки на дорожную сеть за счет сокращения времени на поиск свободного места. Кроме того, организация парковочного пространства способствует улучшению видимости на дорогах, что делает передвижение по городу более безопасным как для водителей, так и для пешеходов.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«Мы стремимся ответственно и бережно подходить к проектам, создавать и применять собственное оборудование, соответствующее лучшим международным стандартам. Проекты платного парковочного пространства в связи с ростом числа автомобилей становятся все более востребованными по всей стране. Мы рады применить наши компетенции и экспертизу в Саратове», – сказал руководитель направления АО «Росатом Инфраструктурные решения» </w:t>
      </w:r>
      <w:r w:rsidDel="00000000" w:rsidR="00000000" w:rsidRPr="00000000">
        <w:rPr>
          <w:b w:val="1"/>
          <w:rtl w:val="0"/>
        </w:rPr>
        <w:t xml:space="preserve">Юрий Ермолов</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АО «Росатом Инфраструктурные решения»</w:t>
      </w:r>
      <w:r w:rsidDel="00000000" w:rsidR="00000000" w:rsidRPr="00000000">
        <w:rPr>
          <w:rtl w:val="0"/>
        </w:rPr>
        <w:t xml:space="preserve"> – дивизион госкорпорации «Росатом», диверсифицированный холдинг, работающий в энергетике, сфере IT, жилищно-коммунальном секторе. Компания управляет неатомной генерацией «Росатома», реализует проекты по цифровизации муниципального и регионального управления, модернизации ресурсоснабжения, развития городской среды. Генерирующие мощности компании и теплосети расположены в 16 регионах России. Общая установленная электрическая мощность электростанций составляет 3,6 ГВт, тепловая – 18,7 тыс. Гкал/ч. Различные проекты в сфере цифровизации и ЖКХ реализуются более чем в 200 городах от Мурманска до Сахалина.</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Правительство РФ и крупные российские компании уделяют большое внимание развитию цифровой экономики, необходимой IT-инфраструктуры.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 «Росатом» и его предприятия принимают активное участие в этой работе.</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sz w:val="24"/>
      <w:szCs w:val="24"/>
      <w:lang w:val="ru-RU"/>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rPr>
      <w:sz w:val="24"/>
      <w:szCs w:val="24"/>
      <w:lang w:val="ru-RU"/>
    </w:rPr>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rPr>
      <w:sz w:val="24"/>
      <w:szCs w:val="24"/>
      <w:lang w:val="ru-RU"/>
    </w:rPr>
    <w:tblPr>
      <w:tblCellMar>
        <w:top w:w="0.0" w:type="dxa"/>
        <w:left w:w="0.0" w:type="dxa"/>
        <w:bottom w:w="0.0" w:type="dxa"/>
        <w:right w:w="0.0" w:type="dxa"/>
      </w:tblCellMar>
    </w:tblPr>
  </w:style>
  <w:style w:type="table" w:styleId="TableNormal1" w:customStyle="1">
    <w:name w:val="Table Normal"/>
    <w:rPr>
      <w:sz w:val="24"/>
      <w:szCs w:val="24"/>
      <w:lang w:val="ru-RU"/>
    </w:rPr>
    <w:tblPr>
      <w:tblCellMar>
        <w:top w:w="0.0" w:type="dxa"/>
        <w:left w:w="0.0" w:type="dxa"/>
        <w:bottom w:w="0.0" w:type="dxa"/>
        <w:right w:w="0.0" w:type="dxa"/>
      </w:tblCellMar>
    </w:tblPr>
  </w:style>
  <w:style w:type="table" w:styleId="TableNormal2" w:customStyle="1">
    <w:name w:val="Table Normal"/>
    <w:rPr>
      <w:sz w:val="24"/>
      <w:szCs w:val="24"/>
      <w:lang w:val="ru-RU"/>
    </w:rPr>
    <w:tblPr>
      <w:tblCellMar>
        <w:top w:w="0.0" w:type="dxa"/>
        <w:left w:w="0.0" w:type="dxa"/>
        <w:bottom w:w="0.0" w:type="dxa"/>
        <w:right w:w="0.0" w:type="dxa"/>
      </w:tblCellMar>
    </w:tblPr>
  </w:style>
  <w:style w:type="table" w:styleId="TableNormal10" w:customStyle="1">
    <w:name w:val="Table Normal1"/>
    <w:rPr>
      <w:sz w:val="24"/>
      <w:szCs w:val="24"/>
      <w:lang w:val="ru-RU"/>
    </w:rPr>
    <w:tblPr>
      <w:tblCellMar>
        <w:top w:w="0.0" w:type="dxa"/>
        <w:left w:w="0.0" w:type="dxa"/>
        <w:bottom w:w="0.0" w:type="dxa"/>
        <w:right w:w="0.0" w:type="dxa"/>
      </w:tblCellMar>
    </w:tblPr>
  </w:style>
  <w:style w:type="character" w:styleId="a4">
    <w:name w:val="Hyperlink"/>
    <w:uiPriority w:val="99"/>
    <w:unhideWhenUsed w:val="1"/>
    <w:rsid w:val="00C56287"/>
    <w:rPr>
      <w:color w:val="0563c1"/>
      <w:u w:val="single"/>
    </w:rPr>
  </w:style>
  <w:style w:type="character" w:styleId="a5">
    <w:name w:val="Unresolved Mention"/>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uiPriority w:val="99"/>
    <w:semiHidden w:val="1"/>
    <w:unhideWhenUsed w:val="1"/>
    <w:rsid w:val="00C56287"/>
    <w:rPr>
      <w:color w:val="954f72"/>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uiPriority w:val="20"/>
    <w:qFormat w:val="1"/>
    <w:rsid w:val="00912895"/>
    <w:rPr>
      <w:i w:val="1"/>
      <w:iCs w:val="1"/>
    </w:rPr>
  </w:style>
  <w:style w:type="character" w:styleId="af0">
    <w:name w:val="Strong"/>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cs="Times New Roman"/>
      <w:color w:val="000000"/>
      <w:sz w:val="22"/>
      <w:szCs w:val="22"/>
    </w:rPr>
  </w:style>
  <w:style w:type="table" w:styleId="af1" w:customStyle="1">
    <w:basedOn w:val="TableNormal2"/>
    <w:tblPr>
      <w:tblStyleRowBandSize w:val="1"/>
      <w:tblStyleColBandSize w:val="1"/>
      <w:tblCellMar>
        <w:left w:w="108.0" w:type="dxa"/>
        <w:right w:w="108.0" w:type="dxa"/>
      </w:tblCellMar>
    </w:tblPr>
  </w:style>
  <w:style w:type="table" w:styleId="af2" w:customStyle="1">
    <w:basedOn w:val="TableNormal2"/>
    <w:tblPr>
      <w:tblStyleRowBandSize w:val="1"/>
      <w:tblStyleColBandSize w:val="1"/>
      <w:tblCellMar>
        <w:left w:w="108.0" w:type="dxa"/>
        <w:right w:w="108.0" w:type="dxa"/>
      </w:tblCellMar>
    </w:tblPr>
  </w:style>
  <w:style w:type="table" w:styleId="af3" w:customStyle="1">
    <w:basedOn w:val="TableNormal1"/>
    <w:tblPr>
      <w:tblStyleRowBandSize w:val="1"/>
      <w:tblStyleColBandSize w:val="1"/>
      <w:tblCellMar>
        <w:left w:w="108.0" w:type="dxa"/>
        <w:right w:w="108.0" w:type="dxa"/>
      </w:tblCellMar>
    </w:tblPr>
  </w:style>
  <w:style w:type="paragraph" w:styleId="af4">
    <w:name w:val="Body Text"/>
    <w:basedOn w:val="a"/>
    <w:link w:val="af5"/>
    <w:rsid w:val="00BE1CC2"/>
    <w:pPr>
      <w:suppressAutoHyphens w:val="1"/>
      <w:spacing w:after="140" w:line="276" w:lineRule="auto"/>
    </w:pPr>
    <w:rPr>
      <w:rFonts w:ascii="Times New Roman" w:cs="Times New Roman" w:eastAsia="Times New Roman" w:hAnsi="Times New Roman"/>
      <w:lang w:eastAsia="zh-CN"/>
    </w:rPr>
  </w:style>
  <w:style w:type="character" w:styleId="af5" w:customStyle="1">
    <w:name w:val="Основной текст Знак"/>
    <w:link w:val="af4"/>
    <w:rsid w:val="00BE1CC2"/>
    <w:rPr>
      <w:rFonts w:ascii="Times New Roman" w:cs="Times New Roman" w:eastAsia="Times New Roman" w:hAnsi="Times New Roman"/>
      <w:lang w:eastAsia="zh-CN"/>
    </w:rPr>
  </w:style>
  <w:style w:type="table" w:styleId="af6" w:customStyle="1">
    <w:basedOn w:val="TableNormal0"/>
    <w:tblPr>
      <w:tblStyleRowBandSize w:val="1"/>
      <w:tblStyleColBandSize w:val="1"/>
      <w:tblCellMar>
        <w:left w:w="108.0" w:type="dxa"/>
        <w:right w:w="108.0" w:type="dxa"/>
      </w:tblCellMar>
    </w:tblPr>
  </w:style>
  <w:style w:type="paragraph" w:styleId="af7">
    <w:name w:val="No Spacing"/>
    <w:uiPriority w:val="1"/>
    <w:qFormat w:val="1"/>
    <w:rsid w:val="00BD4DF2"/>
    <w:rPr>
      <w:sz w:val="24"/>
      <w:szCs w:val="24"/>
      <w:lang w:val="ru-RU"/>
    </w:rPr>
  </w:style>
  <w:style w:type="paragraph" w:styleId="af8">
    <w:name w:val="annotation text"/>
    <w:basedOn w:val="a"/>
    <w:link w:val="af9"/>
    <w:uiPriority w:val="99"/>
    <w:unhideWhenUsed w:val="1"/>
    <w:rsid w:val="00514080"/>
    <w:rPr>
      <w:rFonts w:eastAsiaTheme="minorHAnsi"/>
      <w:sz w:val="20"/>
      <w:szCs w:val="20"/>
      <w:lang w:eastAsia="en-US"/>
    </w:rPr>
  </w:style>
  <w:style w:type="character" w:styleId="af9" w:customStyle="1">
    <w:name w:val="Текст примечания Знак"/>
    <w:basedOn w:val="a0"/>
    <w:link w:val="af8"/>
    <w:uiPriority w:val="99"/>
    <w:rsid w:val="00514080"/>
    <w:rPr>
      <w:rFonts w:eastAsiaTheme="minorHAnsi"/>
      <w:lang w:eastAsia="en-US"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9aFFiU5TQVE1k2+2yNdJHhzvDA==">CgMxLjA4AHIhMTdRTFBueU84dmF2RkEtdkZmdlRTOGM3RjAxMGc2ZC1X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2025-03-03T14:49:00Z</dcterms:created>
  <dc:creator>b v</dc:creator>
</cp:coreProperties>
</file>