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sz w:val="28"/>
          <w:szCs w:val="28"/>
        </w:rPr>
      </w:pPr>
      <w:bookmarkStart w:id="0" w:name="_heading=h.gjdgxs"/>
      <w:bookmarkEnd w:id="0"/>
      <w:r>
        <w:rPr>
          <w:rFonts w:eastAsia="Times New Roman" w:cs="Times New Roman" w:ascii="Times New Roman" w:hAnsi="Times New Roman"/>
          <w:b/>
          <w:sz w:val="28"/>
          <w:szCs w:val="28"/>
        </w:rPr>
        <w:t>Выдана лицензия на сооружение энергоблока № 4 АЭС «Эль-Дабаа»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Совет директоров Управления по ядерному и радиологическому регулированию Арабской Республики Египет (ENRRA) на своем заседании 30 августа 2023 года принял решение о выдаче лицензии на строительство энергоблока № 4 АЭС «Эль-Дабаа» (генеральный проектировщик и генеральный подрядчик — Инжиниринговый дивизион Госкорпорации «Росатом»).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Глава Совета директоров ENRRA Сами Шабаан заявил, что Управление по ядерному и радиологическому регулированию Египта осуществляет свою постоянную роль регулятора в процессе строительства первого, второго и третьего энергоблоков через систему инспекторов, присутствующих на объекте.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 30 июля по 2 августа 2023 года комиссией ENRRA проводилась комплексная инспекция с целью проверки готовности к началу процесса сооружения четвертого энергоблока с реакторной установкой ВВЭР-1200, которые относятся к поколению III+ и соответствуют самым высоким международным требованиям эффективности и безопасности.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По результатам инспекции комиссией была подтверждена безопасность строительства четвертого энергоблока </w:t>
      </w:r>
      <w:r>
        <w:rPr>
          <w:rFonts w:eastAsia="Arial" w:cs="Arial" w:ascii="Arial" w:hAnsi="Arial"/>
          <w:color w:val="333333"/>
          <w:sz w:val="20"/>
          <w:szCs w:val="20"/>
          <w:highlight w:val="white"/>
        </w:rPr>
        <w:t xml:space="preserve">— </w:t>
      </w:r>
      <w:r>
        <w:rPr>
          <w:rFonts w:eastAsia="Times New Roman" w:cs="Times New Roman" w:ascii="Times New Roman" w:hAnsi="Times New Roman"/>
          <w:sz w:val="28"/>
          <w:szCs w:val="28"/>
        </w:rPr>
        <w:t>вреда для окружающей среды не обнаружено.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На заседании совета директоров ENRRA было принято решение на выдачу лицензии на строительство четвертого энергоблока АЭС «Эль-Дабаа».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Управление по ядерному и радиологическому регулированию Египта продолжит свою работу по проверке обязательств Управления по атомным электростанциям Египта (NPPA) в соответствии с условиями предоставленного разрешения и регулирующим контролем реализации этапа строительства и производства оборудования, а также будет проводить необходимые инспекции в рамках роли ENRRA в проверке безопасности людей, окружающей среды и имущества на всей территории Египта от возможных опасностей, а также в обеспечении содействия безопасному и мирному использованию ядерных технологий во всех аспектах развития.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«Процесс сооружения АЭС «Эль-Дабаа» идет в полном соответствии с графиком. Получение лицензии на строительство четвертого энергоблока — еще одна ключевая веха, которую мы достигли в этом году благодаря слаженной совместной работе Заказчика (NPPA) и Генподрядчика (АО АСЭ). Это значимый шаг, приближающий нас к ключевому событию — заливке «первого» бетона и старту сооружения четвертого энергоблока первой АЭС в Египте. Поздравляю всю многонациональную сплоченную команду проекта с этим достижением!», — прокомментировал вице-президент АО АСЭ, директор проекта по сооружению АЭС «Эль-Дабаа» Алексей Кононенко.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Разрешение на строительство первого энергоблока было выдано в июне 2022 года, второго — в октябре 2022 года, третьего — в марте 2023 года.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b/>
          <w:i/>
          <w:sz w:val="28"/>
          <w:szCs w:val="28"/>
        </w:rPr>
        <w:t>Справка: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АЭС «Эль-Дабаа» — первая атомная электростанция в Египте, которая будет построена в городе Эль-Дабаа провинции Матрух на берегу Средиземного моря, примерно в 300 км к северо-западу от Каира. АЭС будет состоять из 4 энергоблоков мощностью по 1200 МВт каждый с реакторами типа ВВЭР-1200 (водо-водяной энергетический реактор) поколения III+. Это технология новейшего поколения, которая уже имеет референции и успешно работает. В России работают четыре блока с реакторами этого поколения: по два реактора — на площадках Нововоронежской и Ленинградской атомных электростанций. За пределами России в ноябре 2020 года к сети был подключен один энергоблок с реактором ВВЭР-1200 на Белорусской АЭС.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Сооружение АЭС осуществляется в соответствии с пакетом контрактов, вступивших в силу 11 декабря 2017 года. Согласно контрактным обязательствам российская сторона не только построит станцию, но и осуществит поставку российского ядерного топлива на весь жизненный цикл атомной электростанции, а также окажет египетским партнерам помощь в обучении персонала и поддержку в эксплуатации и сервисе станции на протяжении первых 10 лет ее работы. В рамках еще одного соглашения российская сторона построит специальное хранилище и поставит контейнеры для хранения отработавшего ядерного топлива.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</w:rPr>
        <w:t>Справка: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Инжиниринговый дивизион Госкорпорации «Росатом» объединяет ведущие компании атомной отрасли: АО «Атомстройэкспорт» (Москва, Нижний Новгород, филиалы в России и за рубежом), Объединенный проектный институт — АО «Атомэнергопроект» (Московский, Нижегородский, Санкт-Петербургский филиалы — проектные институты, филиалы в России и за рубежом, изыскательские филиалы) и дочерние строительные организации.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Инжиниринговый дивизион занимает первое место в мире по портфелю заказов и количеству одновременно сооружаемых АЭС в разных странах мира.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Порядка 80 % выручки дивизиона составляют зарубежные проекты.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>Инжиниринговый дивизион реализует проекты по сооружению АЭС большой мощности в России и других странах, оказывает полный спектр услуг EPC, EP, EPC(M), включая управление проектом и проектирование, и развивает Multi-D-технологии для управления сложными инженерными объектами. Дивизион опирается на достижения российской атомной отрасли и современные инновационные технологии.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/>
          <w:sz w:val="24"/>
          <w:szCs w:val="24"/>
        </w:rPr>
        <w:t xml:space="preserve">Мы строим надежные и безопасные АЭС с реакторами типа ВВЭР поколения </w:t>
      </w:r>
      <w:r>
        <w:rPr>
          <w:rFonts w:eastAsia="Times New Roman" w:cs="Times New Roman" w:ascii="Times New Roman" w:hAnsi="Times New Roman"/>
          <w:sz w:val="24"/>
          <w:szCs w:val="24"/>
        </w:rPr>
        <w:t>III+</w:t>
      </w:r>
      <w:r>
        <w:rPr>
          <w:rFonts w:eastAsia="Times New Roman" w:cs="Times New Roman" w:ascii="Times New Roman" w:hAnsi="Times New Roman"/>
          <w:i/>
          <w:sz w:val="24"/>
          <w:szCs w:val="24"/>
        </w:rPr>
        <w:t>, которые отвечают всем международным требованиям и рекомендациям.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hyperlink r:id="rId2">
        <w:r>
          <w:rPr>
            <w:rFonts w:eastAsia="Times New Roman" w:cs="Times New Roman" w:ascii="Times New Roman" w:hAnsi="Times New Roman"/>
            <w:i/>
            <w:color w:val="0000FF"/>
            <w:sz w:val="24"/>
            <w:szCs w:val="24"/>
            <w:u w:val="single"/>
          </w:rPr>
          <w:t>www.ase-ec.ru</w:t>
        </w:r>
      </w:hyperlink>
    </w:p>
    <w:sectPr>
      <w:type w:val="nextPage"/>
      <w:pgSz w:w="11906" w:h="16838"/>
      <w:pgMar w:left="1276" w:right="566" w:gutter="0" w:header="0" w:top="426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swiss"/>
    <w:pitch w:val="default"/>
  </w:font>
  <w:font w:name="Tahoma">
    <w:charset w:val="01"/>
    <w:family w:val="swiss"/>
    <w:pitch w:val="default"/>
  </w:font>
  <w:font w:name="Arial">
    <w:charset w:val="01"/>
    <w:family w:val="swiss"/>
    <w:pitch w:val="default"/>
  </w:font>
  <w:font w:name="Times New Roman">
    <w:charset w:val="01"/>
    <w:family w:val="swiss"/>
    <w:pitch w:val="default"/>
  </w:font>
  <w:font w:name="SimSun">
    <w:charset w:val="01"/>
    <w:family w:val="swiss"/>
    <w:pitch w:val="default"/>
  </w:font>
  <w:font w:name="Georgia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ar-SA" w:val="ru-RU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сновной шрифт абзаца1"/>
    <w:qFormat/>
    <w:rPr/>
  </w:style>
  <w:style w:type="character" w:styleId="-">
    <w:name w:val="Hyperlink"/>
    <w:uiPriority w:val="99"/>
    <w:rPr>
      <w:color w:val="0000FF"/>
      <w:u w:val="single"/>
    </w:rPr>
  </w:style>
  <w:style w:type="character" w:styleId="Style8" w:customStyle="1">
    <w:name w:val="Текст Знак"/>
    <w:qFormat/>
    <w:rPr>
      <w:rFonts w:ascii="Tahoma" w:hAnsi="Tahoma" w:cs="Tahoma"/>
      <w:lang w:val="ru-RU" w:eastAsia="ar-SA" w:bidi="ar-SA"/>
    </w:rPr>
  </w:style>
  <w:style w:type="character" w:styleId="12" w:customStyle="1">
    <w:name w:val="Знак примечания1"/>
    <w:qFormat/>
    <w:rPr>
      <w:sz w:val="16"/>
      <w:szCs w:val="16"/>
    </w:rPr>
  </w:style>
  <w:style w:type="character" w:styleId="Style9" w:customStyle="1">
    <w:name w:val="Текст примечания Знак"/>
    <w:qFormat/>
    <w:rPr>
      <w:rFonts w:ascii="Calibri" w:hAnsi="Calibri" w:eastAsia="Calibri" w:cs="Calibri"/>
    </w:rPr>
  </w:style>
  <w:style w:type="character" w:styleId="Style10" w:customStyle="1">
    <w:name w:val="Тема примечания Знак"/>
    <w:qFormat/>
    <w:rPr>
      <w:rFonts w:ascii="Calibri" w:hAnsi="Calibri" w:eastAsia="Calibri" w:cs="Calibri"/>
      <w:b/>
      <w:bCs/>
    </w:rPr>
  </w:style>
  <w:style w:type="character" w:styleId="Style11" w:customStyle="1">
    <w:name w:val="Текст выноски Знак"/>
    <w:qFormat/>
    <w:rPr>
      <w:rFonts w:ascii="Tahoma" w:hAnsi="Tahoma" w:eastAsia="Calibri" w:cs="Tahoma"/>
      <w:sz w:val="16"/>
      <w:szCs w:val="16"/>
    </w:rPr>
  </w:style>
  <w:style w:type="character" w:styleId="Strong">
    <w:name w:val="Strong"/>
    <w:qFormat/>
    <w:rPr>
      <w:b/>
      <w:bCs/>
    </w:rPr>
  </w:style>
  <w:style w:type="character" w:styleId="Style12" w:customStyle="1">
    <w:name w:val="Основной текст Знак"/>
    <w:qFormat/>
    <w:rPr>
      <w:rFonts w:ascii="Calibri" w:hAnsi="Calibri" w:eastAsia="Calibri" w:cs="Calibri"/>
      <w:sz w:val="22"/>
      <w:szCs w:val="22"/>
    </w:rPr>
  </w:style>
  <w:style w:type="character" w:styleId="13" w:customStyle="1">
    <w:name w:val="Текст выноски Знак1"/>
    <w:basedOn w:val="DefaultParagraphFont"/>
    <w:link w:val="BalloonText"/>
    <w:uiPriority w:val="99"/>
    <w:semiHidden/>
    <w:qFormat/>
    <w:rsid w:val="00303d25"/>
    <w:rPr>
      <w:rFonts w:ascii="Tahoma" w:hAnsi="Tahoma" w:eastAsia="Calibri" w:cs="Tahoma"/>
      <w:sz w:val="16"/>
      <w:szCs w:val="16"/>
      <w:lang w:eastAsia="ar-SA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e5f83"/>
    <w:rPr>
      <w:sz w:val="16"/>
      <w:szCs w:val="16"/>
    </w:rPr>
  </w:style>
  <w:style w:type="character" w:styleId="14" w:customStyle="1">
    <w:name w:val="Текст примечания Знак1"/>
    <w:basedOn w:val="DefaultParagraphFont"/>
    <w:link w:val="Annotationtext"/>
    <w:uiPriority w:val="99"/>
    <w:semiHidden/>
    <w:qFormat/>
    <w:rsid w:val="009e5f83"/>
    <w:rPr>
      <w:rFonts w:ascii="Calibri" w:hAnsi="Calibri" w:eastAsia="Calibri"/>
      <w:lang w:eastAsia="ar-SA"/>
    </w:rPr>
  </w:style>
  <w:style w:type="character" w:styleId="15" w:customStyle="1">
    <w:name w:val="Тема примечания Знак1"/>
    <w:basedOn w:val="14"/>
    <w:link w:val="Annotationsubject"/>
    <w:uiPriority w:val="99"/>
    <w:semiHidden/>
    <w:qFormat/>
    <w:rsid w:val="009e5f83"/>
    <w:rPr>
      <w:rFonts w:ascii="Calibri" w:hAnsi="Calibri" w:eastAsia="Calibri"/>
      <w:b/>
      <w:bCs/>
      <w:lang w:eastAsia="ar-SA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14">
    <w:name w:val="Body Text"/>
    <w:basedOn w:val="Normal"/>
    <w:pPr>
      <w:spacing w:before="0" w:after="120"/>
    </w:pPr>
    <w:rPr/>
  </w:style>
  <w:style w:type="paragraph" w:styleId="Style15">
    <w:name w:val="List"/>
    <w:basedOn w:val="Style14"/>
    <w:pPr/>
    <w:rPr>
      <w:rFonts w:cs="Lucida Sans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hi-IN"/>
    </w:rPr>
  </w:style>
  <w:style w:type="paragraph" w:styleId="Style18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16" w:customStyle="1">
    <w:name w:val="Заголовок1"/>
    <w:basedOn w:val="Normal"/>
    <w:next w:val="Style14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17" w:customStyle="1">
    <w:name w:val="Название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18" w:customStyle="1">
    <w:name w:val="Указатель1"/>
    <w:basedOn w:val="Normal"/>
    <w:qFormat/>
    <w:pPr>
      <w:suppressLineNumbers/>
    </w:pPr>
    <w:rPr>
      <w:rFonts w:cs="Lucida Sans"/>
    </w:rPr>
  </w:style>
  <w:style w:type="paragraph" w:styleId="19" w:customStyle="1">
    <w:name w:val="Обычный (веб)1"/>
    <w:basedOn w:val="Normal"/>
    <w:qFormat/>
    <w:pPr>
      <w:spacing w:lineRule="atLeast" w:line="100" w:before="100" w:after="100"/>
    </w:pPr>
    <w:rPr>
      <w:rFonts w:ascii="Times New Roman" w:hAnsi="Times New Roman"/>
      <w:sz w:val="24"/>
      <w:szCs w:val="24"/>
    </w:rPr>
  </w:style>
  <w:style w:type="paragraph" w:styleId="110" w:customStyle="1">
    <w:name w:val="Текст1"/>
    <w:basedOn w:val="Normal"/>
    <w:qFormat/>
    <w:pPr>
      <w:spacing w:lineRule="atLeast" w:line="100" w:before="0" w:after="0"/>
    </w:pPr>
    <w:rPr>
      <w:rFonts w:ascii="Tahoma" w:hAnsi="Tahoma" w:eastAsia="Times New Roman" w:cs="Tahoma"/>
      <w:sz w:val="20"/>
      <w:szCs w:val="20"/>
    </w:rPr>
  </w:style>
  <w:style w:type="paragraph" w:styleId="HTML1" w:customStyle="1">
    <w:name w:val="Стандартный HTML1"/>
    <w:basedOn w:val="Normal"/>
    <w:qFormat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tLeast" w:line="100" w:before="0" w:after="0"/>
    </w:pPr>
    <w:rPr>
      <w:rFonts w:ascii="SimSun" w:hAnsi="SimSun" w:eastAsia="SimSun" w:cs="SimSun"/>
      <w:sz w:val="24"/>
      <w:szCs w:val="24"/>
    </w:rPr>
  </w:style>
  <w:style w:type="paragraph" w:styleId="Default" w:customStyle="1">
    <w:name w:val="Default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000000"/>
      <w:kern w:val="0"/>
      <w:sz w:val="24"/>
      <w:szCs w:val="24"/>
      <w:lang w:eastAsia="ar-SA" w:val="ru-RU" w:bidi="hi-IN"/>
    </w:rPr>
  </w:style>
  <w:style w:type="paragraph" w:styleId="111" w:customStyle="1">
    <w:name w:val="Без интервала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ar-SA" w:val="ru-RU" w:bidi="hi-IN"/>
    </w:rPr>
  </w:style>
  <w:style w:type="paragraph" w:styleId="112" w:customStyle="1">
    <w:name w:val="Текст примечания1"/>
    <w:basedOn w:val="Normal"/>
    <w:qFormat/>
    <w:pPr/>
    <w:rPr>
      <w:sz w:val="20"/>
      <w:szCs w:val="20"/>
      <w:lang w:val="en-US"/>
    </w:rPr>
  </w:style>
  <w:style w:type="paragraph" w:styleId="113" w:customStyle="1">
    <w:name w:val="Тема примечания1"/>
    <w:basedOn w:val="112"/>
    <w:qFormat/>
    <w:pPr/>
    <w:rPr>
      <w:b/>
      <w:bCs/>
    </w:rPr>
  </w:style>
  <w:style w:type="paragraph" w:styleId="114" w:customStyle="1">
    <w:name w:val="Текст выноски1"/>
    <w:basedOn w:val="Normal"/>
    <w:qFormat/>
    <w:pPr>
      <w:spacing w:lineRule="atLeast" w:line="100" w:before="0" w:after="0"/>
    </w:pPr>
    <w:rPr>
      <w:rFonts w:ascii="Tahoma" w:hAnsi="Tahoma" w:cs="Tahoma"/>
      <w:sz w:val="16"/>
      <w:szCs w:val="16"/>
      <w:lang w:val="en-US"/>
    </w:rPr>
  </w:style>
  <w:style w:type="paragraph" w:styleId="115" w:customStyle="1">
    <w:name w:val="Рецензия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ar-SA" w:val="ru-RU" w:bidi="hi-IN"/>
    </w:rPr>
  </w:style>
  <w:style w:type="paragraph" w:styleId="Style61" w:customStyle="1">
    <w:name w:val="style6"/>
    <w:basedOn w:val="Normal"/>
    <w:qFormat/>
    <w:pPr>
      <w:spacing w:lineRule="atLeast" w:line="100" w:before="100" w:after="100"/>
    </w:pPr>
    <w:rPr>
      <w:rFonts w:ascii="Times New Roman" w:hAnsi="Times New Roman" w:eastAsia="Times New Roman"/>
      <w:b/>
      <w:bCs/>
      <w:sz w:val="27"/>
      <w:szCs w:val="27"/>
    </w:rPr>
  </w:style>
  <w:style w:type="paragraph" w:styleId="BalloonText">
    <w:name w:val="Balloon Text"/>
    <w:basedOn w:val="Normal"/>
    <w:link w:val="13"/>
    <w:uiPriority w:val="99"/>
    <w:semiHidden/>
    <w:unhideWhenUsed/>
    <w:qFormat/>
    <w:rsid w:val="00303d2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14"/>
    <w:uiPriority w:val="99"/>
    <w:semiHidden/>
    <w:unhideWhenUsed/>
    <w:qFormat/>
    <w:rsid w:val="009e5f8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15"/>
    <w:uiPriority w:val="99"/>
    <w:semiHidden/>
    <w:unhideWhenUsed/>
    <w:qFormat/>
    <w:rsid w:val="009e5f83"/>
    <w:pPr/>
    <w:rPr>
      <w:b/>
      <w:bCs/>
    </w:rPr>
  </w:style>
  <w:style w:type="paragraph" w:styleId="Style19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se-ec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xUOqY2/GkFEVZ/RUazdnrHwklpA==">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DocSecurity>0</DocSecurity>
  <Pages>2</Pages>
  <Words>640</Words>
  <Characters>4392</Characters>
  <CharactersWithSpaces>5024</CharactersWithSpaces>
  <Paragraphs>19</Paragraphs>
  <Company>NIAEP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2023-03-29T15:25:00Z</dcterms:created>
  <dc:creator>Герасимова</dc:creator>
  <dc:description/>
  <dc:language>ru-RU</dc:language>
  <cp:lastModifiedBy/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