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DC8192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56DB527" w:rsidR="00A514EF" w:rsidRPr="00A91A68" w:rsidRDefault="00CE33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F868F3D" w14:textId="4C429A5A" w:rsidR="00CE3370" w:rsidRPr="00CE3370" w:rsidRDefault="00CE3370" w:rsidP="00CE3370">
      <w:pPr>
        <w:jc w:val="center"/>
        <w:rPr>
          <w:b/>
          <w:bCs/>
          <w:sz w:val="28"/>
          <w:szCs w:val="28"/>
        </w:rPr>
      </w:pPr>
      <w:r w:rsidRPr="00CE3370">
        <w:rPr>
          <w:b/>
          <w:bCs/>
          <w:sz w:val="28"/>
          <w:szCs w:val="28"/>
        </w:rPr>
        <w:t>«Росатом» на II Международном технологическом конгрессе представил пути достижения технологического суверенитета</w:t>
      </w:r>
    </w:p>
    <w:p w14:paraId="18321D49" w14:textId="55B0E611" w:rsidR="00CE3370" w:rsidRPr="00CE3370" w:rsidRDefault="00CE3370" w:rsidP="00CE3370">
      <w:pPr>
        <w:jc w:val="center"/>
        <w:rPr>
          <w:i/>
          <w:iCs/>
        </w:rPr>
      </w:pPr>
      <w:r w:rsidRPr="00CE3370">
        <w:rPr>
          <w:i/>
          <w:iCs/>
        </w:rPr>
        <w:t>ИТ-руководители и эксперты атомной отрасли обсудили доверенные технологии, искусственный интеллект и подготовку специалистов</w:t>
      </w:r>
    </w:p>
    <w:p w14:paraId="559A3264" w14:textId="77777777" w:rsidR="00CE3370" w:rsidRPr="00CE3370" w:rsidRDefault="00CE3370" w:rsidP="00CE3370"/>
    <w:p w14:paraId="178BFB00" w14:textId="1D096959" w:rsidR="00CE3370" w:rsidRDefault="00CE3370" w:rsidP="00CE3370">
      <w:pPr>
        <w:rPr>
          <w:b/>
          <w:bCs/>
        </w:rPr>
      </w:pPr>
      <w:r w:rsidRPr="00CE3370">
        <w:rPr>
          <w:b/>
          <w:bCs/>
        </w:rPr>
        <w:t>Представители госкорпорации «Росатом» приняли участие во II Международном технологическом конгрессе, который завершился 18 сентября</w:t>
      </w:r>
      <w:r w:rsidRPr="00CE3370">
        <w:rPr>
          <w:b/>
          <w:bCs/>
        </w:rPr>
        <w:t>.</w:t>
      </w:r>
      <w:r w:rsidRPr="00CE3370">
        <w:rPr>
          <w:b/>
          <w:bCs/>
        </w:rPr>
        <w:t xml:space="preserve"> </w:t>
      </w:r>
    </w:p>
    <w:p w14:paraId="2B95B373" w14:textId="77777777" w:rsidR="00CE3370" w:rsidRPr="00CE3370" w:rsidRDefault="00CE3370" w:rsidP="00CE3370">
      <w:pPr>
        <w:rPr>
          <w:b/>
          <w:bCs/>
        </w:rPr>
      </w:pPr>
    </w:p>
    <w:p w14:paraId="32E44FFC" w14:textId="77777777" w:rsidR="00CE3370" w:rsidRDefault="00CE3370" w:rsidP="00CE3370">
      <w:r w:rsidRPr="00CE3370">
        <w:t xml:space="preserve">В частности, директор по информационным и цифровым технологиям госкорпорации «Росатом» Евгений Абакумов выступил на пленарной сессии «Цифровой компас ШОС. Диалог партнеров: курс на доверенные технологии», где представители разных стран обсудили, как развивать цифровое сотрудничество и создавать безопасную технологическую среду с учетом интересов всех государств. В своем выступлении он подчеркнул, что для критически важных отраслей, в том числе для атомной энергетики, ключевыми условиями для внедрения искусственного интеллекта остаются доверие, устойчивость и технологический суверенитет. </w:t>
      </w:r>
    </w:p>
    <w:p w14:paraId="73BAFF22" w14:textId="77777777" w:rsidR="00CE3370" w:rsidRDefault="00CE3370" w:rsidP="00CE3370"/>
    <w:p w14:paraId="6CFAE32D" w14:textId="7BDD4C09" w:rsidR="00CE3370" w:rsidRPr="00CE3370" w:rsidRDefault="00CE3370" w:rsidP="00CE3370">
      <w:r w:rsidRPr="00CE3370">
        <w:t xml:space="preserve">«В эпоху глобальных технологических преобразований «Росатом», работающий более чем в 30 странах мира, не только успешно интегрирует цифровые технологии в свою деятельность, но и предлагает комплексные решения международным партнерам. Ключевым направлением становится развитие доверенного искусственного интеллекта, который открывает новые возможности для энергетики. ИИ позволяет эффективно обрабатывать большие массивы данных, совершенствовать процессы проектирования, инжиниринга и строительства, оптимизировать работу сложных технологических объектов. Мы стремимся создать интегрированную инфраструктуру ИИ для развития цифровой экономики, уделяя особое внимание технологическому суверенитету и прозрачности решений. Важнейшим аспектом остается разработка единых стандартов для обеспечения устойчивости и доверия к результатам работы искусственного интеллекта», – сказал </w:t>
      </w:r>
      <w:r w:rsidRPr="00CE3370">
        <w:rPr>
          <w:b/>
          <w:bCs/>
        </w:rPr>
        <w:t>Евгений Абакумов</w:t>
      </w:r>
      <w:r w:rsidRPr="00CE3370">
        <w:t>.</w:t>
      </w:r>
    </w:p>
    <w:p w14:paraId="6FEA3672" w14:textId="77777777" w:rsidR="00CE3370" w:rsidRPr="00CE3370" w:rsidRDefault="00CE3370" w:rsidP="00CE3370"/>
    <w:p w14:paraId="0737B26C" w14:textId="4E9BF9D9" w:rsidR="00CE3370" w:rsidRPr="00CE3370" w:rsidRDefault="00CE3370" w:rsidP="00CE3370">
      <w:r w:rsidRPr="00CE3370">
        <w:t>Генеральный директор АО «</w:t>
      </w:r>
      <w:proofErr w:type="spellStart"/>
      <w:r w:rsidRPr="00CE3370">
        <w:t>Гринатом</w:t>
      </w:r>
      <w:proofErr w:type="spellEnd"/>
      <w:r w:rsidRPr="00CE3370">
        <w:t>» (ИТ-интегратор «Росатома») Андрей Лавров принял участие в панельной сессии «Путь технологического лидера: построение оптимальной траектории», которая прошла в рамках трека «Росатом. Цифра: создавая будущее» и была посвящена стратегическим решениям, которые востребованы не только на внутреннем рынке, но и на международном уровне. На ней обсудили ожидания регуляторов от корпораций и рынка, проанализировали динамику вопроса с 2022 года, основные векторы импортозамещения и внедрения инструментов ИИ, а также поделились с аудиторией опытом эффективного взаимодействия при создании технологических альянсов. Предметом дискуссии стала также нехватка специалистов и возможности для привлечения новых людей в отрасль. «Инвестирование в подготовку и привлечение молодых специалистов, в том числе через внутреннее перепрофилирование, помогло “</w:t>
      </w:r>
      <w:proofErr w:type="spellStart"/>
      <w:r w:rsidRPr="00CE3370">
        <w:t>Гринатому</w:t>
      </w:r>
      <w:proofErr w:type="spellEnd"/>
      <w:r w:rsidRPr="00CE3370">
        <w:t xml:space="preserve">” из закрытой структуры превратиться в открытого ИТ-интегратора», – отметил </w:t>
      </w:r>
      <w:r w:rsidRPr="00CE3370">
        <w:rPr>
          <w:b/>
          <w:bCs/>
        </w:rPr>
        <w:t>Андрей Лавров</w:t>
      </w:r>
      <w:r w:rsidRPr="00CE3370">
        <w:t>.</w:t>
      </w:r>
    </w:p>
    <w:p w14:paraId="7EC48836" w14:textId="77777777" w:rsidR="00CE3370" w:rsidRPr="00CE3370" w:rsidRDefault="00CE3370" w:rsidP="00CE3370"/>
    <w:p w14:paraId="54AA7B8C" w14:textId="5DAD55F9" w:rsidR="00CE3370" w:rsidRPr="00CE3370" w:rsidRDefault="00CE3370" w:rsidP="00CE3370">
      <w:r w:rsidRPr="00CE3370">
        <w:t xml:space="preserve">«По итогам сессии мы совместно пришли к решению, что кооперация и альянсы ускоряют развитие и внедрение ИТ-продуктов и технологий. Также мы с коллегами были единодушны во мнении, что для достижения максимального эффекта крайне важно уделять внимание работе с образовательными учреждениями и подготовке кадров», – резюмировал итоги модератор сессии, руководитель программ, директор по математическому моделированию «Росатома» </w:t>
      </w:r>
      <w:r w:rsidRPr="00CE3370">
        <w:rPr>
          <w:b/>
          <w:bCs/>
        </w:rPr>
        <w:t>Дмитрий Фомичев</w:t>
      </w:r>
      <w:r w:rsidRPr="00CE3370">
        <w:t>.</w:t>
      </w:r>
    </w:p>
    <w:p w14:paraId="2B52947C" w14:textId="77777777" w:rsidR="00CE3370" w:rsidRPr="00CE3370" w:rsidRDefault="00CE3370" w:rsidP="00CE3370"/>
    <w:p w14:paraId="1A171EBC" w14:textId="77777777" w:rsidR="00CE3370" w:rsidRPr="00CE3370" w:rsidRDefault="00CE3370" w:rsidP="00CE3370">
      <w:r w:rsidRPr="00CE3370">
        <w:t xml:space="preserve">Тему цифровой подготовки, развитию ИТ-компетенций у инженеров раскрывали участники второй панельной дискуссии «Цифровая инженерная школа: подготовка кадров для атомной отрасли». Директор по персоналу и организационному развитию дивизиона КИИ «Росатома» </w:t>
      </w:r>
      <w:r w:rsidRPr="00CE3370">
        <w:rPr>
          <w:b/>
          <w:bCs/>
        </w:rPr>
        <w:t>Павел Козлов</w:t>
      </w:r>
      <w:r w:rsidRPr="00CE3370">
        <w:t xml:space="preserve">, подчеркнул, что успешная подготовка цифрового инженера требует интеграции профильных компетенций (физика, схемотехника, топология, микро и радиоэлектроника) с ИТ-навыками. Особое внимание следует уделять работе с российским программным обеспечением и оборудованием. Директор по цифровизации отраслевого проектного направления «Прорыв» </w:t>
      </w:r>
      <w:r w:rsidRPr="00CE3370">
        <w:rPr>
          <w:b/>
          <w:bCs/>
        </w:rPr>
        <w:t>Андрей Федоровский</w:t>
      </w:r>
      <w:r w:rsidRPr="00CE3370">
        <w:t xml:space="preserve"> добавил, что современный инженер должен обладать комплексным пониманием всего спектра ИТ-решений отрасли.</w:t>
      </w:r>
    </w:p>
    <w:p w14:paraId="0402C2EE" w14:textId="77777777" w:rsidR="00CE3370" w:rsidRPr="00CE3370" w:rsidRDefault="00CE3370" w:rsidP="00CE3370"/>
    <w:p w14:paraId="78FCD383" w14:textId="1ADEE4EC" w:rsidR="00CE3370" w:rsidRPr="00CE3370" w:rsidRDefault="00CE3370" w:rsidP="00CE3370">
      <w:r w:rsidRPr="00CE3370">
        <w:t xml:space="preserve">Масштаб кадрового заказа впечатляет </w:t>
      </w:r>
      <w:r w:rsidR="00E231DC" w:rsidRPr="00CE3370">
        <w:t>–</w:t>
      </w:r>
      <w:r w:rsidRPr="00CE3370">
        <w:t xml:space="preserve"> речь идёт о десятках и даже сотнях тысяч инженеров. Директор по технологическому образованию АНО «Корпоративная Академия Росатома» </w:t>
      </w:r>
      <w:r w:rsidRPr="00CE3370">
        <w:rPr>
          <w:b/>
          <w:bCs/>
        </w:rPr>
        <w:t>Екатерина Лукьянова</w:t>
      </w:r>
      <w:r w:rsidRPr="00CE3370">
        <w:t xml:space="preserve"> отметила, что решение такой задачи требует системной интеграции в общую образовательную экосистему России. В завершение модератор сессии, начальник управления цифровой стратегии «Росатома» </w:t>
      </w:r>
      <w:r w:rsidRPr="00CE3370">
        <w:rPr>
          <w:b/>
          <w:bCs/>
        </w:rPr>
        <w:t>Диана Сюняева</w:t>
      </w:r>
      <w:r w:rsidRPr="00CE3370">
        <w:t xml:space="preserve"> отметила, что развитие цифровых компетенций у инженеров </w:t>
      </w:r>
      <w:r w:rsidR="00E231DC" w:rsidRPr="00CE3370">
        <w:t>–</w:t>
      </w:r>
      <w:r w:rsidRPr="00CE3370">
        <w:t xml:space="preserve"> это приоритет не только для атомной отрасли, но и для всей российской промышленности. Современные технологические вызовы требуют быстрой адаптации и точечных решений. Формирование современной цифровой инженерной школы </w:t>
      </w:r>
      <w:r w:rsidR="00E231DC" w:rsidRPr="00CE3370">
        <w:t>–</w:t>
      </w:r>
      <w:r w:rsidRPr="00CE3370">
        <w:t xml:space="preserve"> это процесс постоянного совершенствования подходов и практик предприятий с учётом актуальных потребностей рынка.</w:t>
      </w:r>
    </w:p>
    <w:p w14:paraId="164B4B7E" w14:textId="77777777" w:rsidR="00CE3370" w:rsidRPr="00CE3370" w:rsidRDefault="00CE3370" w:rsidP="00CE3370"/>
    <w:p w14:paraId="619BE0D6" w14:textId="77777777" w:rsidR="00CE3370" w:rsidRPr="00CE3370" w:rsidRDefault="00CE3370" w:rsidP="00CE3370">
      <w:r w:rsidRPr="00CE3370">
        <w:t xml:space="preserve">На панельной дискуссии «Развитие отечественных систем математического моделирования» эксперты обсудили ключевые аспекты создания доверенных программно-аппаратных комплексов (ПАК). В центре внимания оказались возможности и ограничения разработчиков ПО класса CAE, требования промышленности к ПАК, а также вопросы создания конкурентоспособных «реестровых» ПАК на российском и международном рынках. Директор направления по развитию ПАК научно-производственного объединения «Росатома» </w:t>
      </w:r>
      <w:r w:rsidRPr="00CE3370">
        <w:rPr>
          <w:b/>
          <w:bCs/>
        </w:rPr>
        <w:t>Алексей Симонов</w:t>
      </w:r>
      <w:r w:rsidRPr="00CE3370">
        <w:t xml:space="preserve"> отметил, что особое внимание уделяется сбалансированности систем, где производительность процессора должна гармонично сочетаться с характеристиками памяти и интерконнекта. Современные конструкторские бюро уже используют персональные суперкомпьютеры для моделирования компонентов изделий, однако при работе со сложными моделями возникает необходимость в более эффективном использовании вычислительных ресурсов. Комплексный подход становится определяющим в развитии отрасли. Как подчеркнул еще один представитель «Росатома» </w:t>
      </w:r>
      <w:r w:rsidRPr="00CE3370">
        <w:rPr>
          <w:b/>
          <w:bCs/>
        </w:rPr>
        <w:t>Роман Королев</w:t>
      </w:r>
      <w:r w:rsidRPr="00CE3370">
        <w:t xml:space="preserve">, необходимо рассматривать систему как единое целое, а затем уже декомпозировать её на отдельные компоненты. Такой подход позволяет достичь оптимального баланса между всеми элементами и обеспечить требуемую производительность. Дальнейшее совершенствование отечественных технологий и методов организации вычислительных процессов открывает новые перспективы для развития отрасли. </w:t>
      </w:r>
    </w:p>
    <w:p w14:paraId="340D5732" w14:textId="77777777" w:rsidR="00CE3370" w:rsidRPr="00CE3370" w:rsidRDefault="00CE3370" w:rsidP="00CE3370"/>
    <w:p w14:paraId="7ED6F0C0" w14:textId="77777777" w:rsidR="00CE3370" w:rsidRPr="00CE3370" w:rsidRDefault="00CE3370" w:rsidP="00CE3370">
      <w:r w:rsidRPr="00CE3370">
        <w:lastRenderedPageBreak/>
        <w:t xml:space="preserve">Модератор сессии </w:t>
      </w:r>
      <w:r w:rsidRPr="00CE3370">
        <w:rPr>
          <w:b/>
          <w:bCs/>
        </w:rPr>
        <w:t>Дмитрий Фомичев</w:t>
      </w:r>
      <w:r w:rsidRPr="00CE3370">
        <w:t>, подводя итоги обсуждения, подчеркнул важную роль стратегических альянсов в развитии отрасли. По его мнению, объединение усилий ведущих игроков рынка создает прочную основу для выхода на новые рынки и открывает дополнительные возможности для инновационного развития.</w:t>
      </w:r>
    </w:p>
    <w:p w14:paraId="16DF02EB" w14:textId="77777777" w:rsidR="00CE3370" w:rsidRPr="00CE3370" w:rsidRDefault="00CE3370" w:rsidP="00CE3370"/>
    <w:p w14:paraId="047FACF1" w14:textId="6265B5C4" w:rsidR="00CE3370" w:rsidRPr="00CE3370" w:rsidRDefault="00CE3370" w:rsidP="00CE3370">
      <w:pPr>
        <w:rPr>
          <w:b/>
          <w:bCs/>
        </w:rPr>
      </w:pPr>
      <w:r w:rsidRPr="00CE3370">
        <w:rPr>
          <w:b/>
          <w:bCs/>
        </w:rPr>
        <w:t>С</w:t>
      </w:r>
      <w:r w:rsidRPr="00CE3370">
        <w:rPr>
          <w:b/>
          <w:bCs/>
        </w:rPr>
        <w:t>правк</w:t>
      </w:r>
      <w:r w:rsidRPr="00CE3370">
        <w:rPr>
          <w:b/>
          <w:bCs/>
        </w:rPr>
        <w:t>а</w:t>
      </w:r>
      <w:r w:rsidRPr="00CE3370">
        <w:rPr>
          <w:b/>
          <w:bCs/>
        </w:rPr>
        <w:t>:</w:t>
      </w:r>
    </w:p>
    <w:p w14:paraId="311A5C8A" w14:textId="77777777" w:rsidR="00CE3370" w:rsidRPr="00CE3370" w:rsidRDefault="00CE3370" w:rsidP="00CE3370"/>
    <w:p w14:paraId="5B5CDC71" w14:textId="633AA535" w:rsidR="00CE3370" w:rsidRPr="00CE3370" w:rsidRDefault="00CE3370" w:rsidP="00CE3370">
      <w:r w:rsidRPr="00CE3370">
        <w:rPr>
          <w:b/>
          <w:bCs/>
        </w:rPr>
        <w:t>Международный технологический Конгресс</w:t>
      </w:r>
      <w:r w:rsidRPr="00CE3370">
        <w:t xml:space="preserve"> </w:t>
      </w:r>
      <w:r w:rsidR="00E231DC" w:rsidRPr="00CE3370">
        <w:t>–</w:t>
      </w:r>
      <w:r w:rsidRPr="00CE3370">
        <w:t xml:space="preserve"> одна из выставок в ИТ-сфере. На ней демонстрируются готовые IT-решения, электроника, телеком-сервисы. Конгресс развивается при поддержке ключевых отраслевых ассоциаций и консорциумов как единый ответ на вызовы в условиях санкционного давления и доверенный канал взаимодействия ИТ-отрасли с регуляторами, партнерами и заказчиками. Он проводится ежегодно с 2024 г. при поддержке ключевых регуляторов отрасли Минпромторга и </w:t>
      </w:r>
      <w:proofErr w:type="spellStart"/>
      <w:r w:rsidRPr="00CE3370">
        <w:t>Минцифры</w:t>
      </w:r>
      <w:proofErr w:type="spellEnd"/>
      <w:r w:rsidRPr="00CE3370">
        <w:t xml:space="preserve"> России.</w:t>
      </w:r>
    </w:p>
    <w:p w14:paraId="1481D1BD" w14:textId="77777777" w:rsidR="00CE3370" w:rsidRPr="00CE3370" w:rsidRDefault="00CE3370" w:rsidP="00CE3370"/>
    <w:p w14:paraId="53580EB5" w14:textId="77777777" w:rsidR="00CE3370" w:rsidRPr="00CE3370" w:rsidRDefault="00CE3370" w:rsidP="00CE3370">
      <w:r w:rsidRPr="00CE3370">
        <w:t>Блок информационных и цифровых технологий госкорпорации «Росатом» в рамках реализации Единой цифровой стратегии (была утверждена в 2018 году) активно развивает разработку программного обеспечения (ПО). Залогом успешной цифровой экспансии является научно-технический потенциал, накопленный атомной отраслью за 80 лет развития. «Росатом» ставит перед собой амбициозную задачу – достижение к 2030 году глобального лидерства по ряду технологий на мировом рынке цифровых решений. Выручка госкорпорации от цифрового направления в 2023 году составила 39,9 млрд рублей (рост по сравнению с 2021 годом – более чем в девять раз).</w:t>
      </w:r>
    </w:p>
    <w:p w14:paraId="743927CB" w14:textId="77777777" w:rsidR="00CE3370" w:rsidRPr="00CE3370" w:rsidRDefault="00CE3370" w:rsidP="00CE3370"/>
    <w:p w14:paraId="4FB8821E" w14:textId="77777777" w:rsidR="00CE3370" w:rsidRPr="00CE3370" w:rsidRDefault="00CE3370" w:rsidP="00CE3370">
      <w:r w:rsidRPr="00CE3370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09522AD7" w14:textId="0E44750F" w:rsidR="00CB097F" w:rsidRPr="00CE3370" w:rsidRDefault="00CB097F" w:rsidP="00CE3370"/>
    <w:sectPr w:rsidR="00CB097F" w:rsidRPr="00CE337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EEC3" w14:textId="77777777" w:rsidR="00150F56" w:rsidRDefault="00150F56">
      <w:r>
        <w:separator/>
      </w:r>
    </w:p>
  </w:endnote>
  <w:endnote w:type="continuationSeparator" w:id="0">
    <w:p w14:paraId="64187B8D" w14:textId="77777777" w:rsidR="00150F56" w:rsidRDefault="0015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293A" w14:textId="77777777" w:rsidR="00150F56" w:rsidRDefault="00150F56">
      <w:r>
        <w:separator/>
      </w:r>
    </w:p>
  </w:footnote>
  <w:footnote w:type="continuationSeparator" w:id="0">
    <w:p w14:paraId="2CC33AC5" w14:textId="77777777" w:rsidR="00150F56" w:rsidRDefault="0015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0F5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429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3370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31DC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2025-09-22T10:28:00Z</dcterms:created>
  <dcterms:modified xsi:type="dcterms:W3CDTF">2025-09-22T10:28:00Z</dcterms:modified>
</cp:coreProperties>
</file>