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Завершен аудит консолидированной финансовой отчетности Госкорпорации «Росатом» за 2023 год, подготовленной по международным стандартам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Выплаты налогов в бюджеты всех уровней увеличились более чем на 50 процентов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Согласно данным отчетности, консолидированная выручка предприятий и организаций Росатома увеличилась на 44,8%.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За 2023 год предприятиями и организациями Росатома было уплачено в бюджеты всех уровней 443,1 млрд рублей налогов, это на 52,1% больше, чем за 2022 год. 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Активы предприятий, входящих в контур управления Госкорпорации «Росатом», выросли на 24,8%. Основные показатели финансовой устойчивости и ликвидности Росатома свидетельствуют о стабильном финансовом положении.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z72hwT2RBfM+51XDsTd12acydw==">CgMxLjA4AGojChRzdWdnZXN0LngyYW8yYjh3dWlrbRILU3RyYW5nZSBDYXRqIwoUc3VnZ2VzdC45ZnZtdW40czR3YzUSC1N0cmFuZ2UgQ2F0aiMKFHN1Z2dlc3QucDFjc2ZtdWtxZHg1EgtTdHJhbmdlIENhdGojChRzdWdnZXN0LnVwYTZ2ZHYzeGVtORILU3RyYW5nZSBDYXRyITFLYWltRFJaUmZueV9jTWJOdl9OczllYzl5a1lBaGp2WA==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2024-04-12T13:43:00Z</dcterms:created>
  <dc:creator>b v</dc:creator>
</cp:coreProperties>
</file>