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278892</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10.09.24</w:t>
            </w:r>
          </w:p>
        </w:tc>
      </w:tr>
    </w:tbl>
    <w:p w:rsidR="00000000" w:rsidDel="00000000" w:rsidP="00000000" w:rsidRDefault="00000000" w:rsidRPr="00000000" w14:paraId="00000009">
      <w:pPr>
        <w:ind w:left="720" w:firstLine="0"/>
        <w:rPr>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Protocol on commencement of works under the low-power NPP project in Uzbekistan has been signed</w:t>
      </w:r>
    </w:p>
    <w:p w:rsidR="00000000" w:rsidDel="00000000" w:rsidP="00000000" w:rsidRDefault="00000000" w:rsidRPr="00000000" w14:paraId="0000000C">
      <w:pPr>
        <w:jc w:val="center"/>
        <w:rPr>
          <w:i w:val="1"/>
        </w:rPr>
      </w:pPr>
      <w:r w:rsidDel="00000000" w:rsidR="00000000" w:rsidRPr="00000000">
        <w:rPr>
          <w:i w:val="1"/>
          <w:rtl w:val="0"/>
        </w:rPr>
        <w:t xml:space="preserve">With the signature of the document, the project implementation is entering the active stage of preparatory works at the construction site and development of the design and license documentation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Atomstroyexport JSC (ASE JSC, Rosatom State Corporation Engineering Division) and NPP Construction Directorate of Uzatom Agency have signed a protocol on commencement of works at the construction site of the future low-power NPP in Uzbekistan.</w:t>
      </w:r>
    </w:p>
    <w:p w:rsidR="00000000" w:rsidDel="00000000" w:rsidP="00000000" w:rsidRDefault="00000000" w:rsidRPr="00000000" w14:paraId="0000000F">
      <w:pPr>
        <w:rPr/>
      </w:pPr>
      <w:r w:rsidDel="00000000" w:rsidR="00000000" w:rsidRPr="00000000">
        <w:rPr>
          <w:rtl w:val="0"/>
        </w:rPr>
        <w:t xml:space="preserve">The document was signed in the presence of Deputy Director General – Director for International Relations Nikolay Spassky and Director of Atomic Energy Agency under the Cabinet of Ministers of the Republic of Uzbekistan Azim </w:t>
      </w:r>
      <w:r w:rsidDel="00000000" w:rsidR="00000000" w:rsidRPr="00000000">
        <w:rPr>
          <w:rtl w:val="0"/>
        </w:rPr>
        <w:t xml:space="preserve">Ahmedhadzhaev</w:t>
      </w: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protocol which was signed today establishes the fact of fulfillment of priority conditions as regards the regulatory and financial obligations of the parties. Rosatom State Corporation Engineering Division commences the development of documentation for receipt of the license for location of the low-power NPP and engineering survey at the construction site”, said Pavel Bezrukov, Director for NPP Construction Projects in Central Asia of ASE JSC.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“Today’s signature marks transition to active work for implementation of the first low-power NPP in Uzbekistan and will allow starting works at the construction site in the nearest future”, pointed out Otabek Amanov, Director of NPP Construction Directorate of Uzamov Agency.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Preliminary works under the low-power NPP project started back in summer – in June the first operational meeting for construction was held at the future NPP site, which defined the priority tasks whose performance will make it possible to begin the works within the scheduled deadlines.</w:t>
      </w:r>
    </w:p>
    <w:p w:rsidR="00000000" w:rsidDel="00000000" w:rsidP="00000000" w:rsidRDefault="00000000" w:rsidRPr="00000000" w14:paraId="00000016">
      <w:pPr>
        <w:rPr/>
      </w:pPr>
      <w:r w:rsidDel="00000000" w:rsidR="00000000" w:rsidRPr="00000000">
        <w:rPr>
          <w:rtl w:val="0"/>
        </w:rPr>
        <w:t xml:space="preserve">At the end of August, works began for construction of the residential settlement for builders of the future NPP. This is the first step for traditional comprehensive development of the NPP area of operation – cultural, educational projects, medical organizations will appear in the region, and the settlement will attract people, industrial companies and commercial organizations for work.</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contract signed on May 27, 2024, provides for construction of the 330 MW Russian-design low-power NPP in the Jizzakh region of Uzbekistan (6 reactors of 55 MW each). Atomstroyexport JSC (Rosatom State Corporation Engineering Division) is the general contractor for the NPP construction, while local companies will also be involved.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low-power NPP project in Uzbekistan is based on the latest Russian development, i.e. the RITM-200N water-water nuclear reactor, which is the result of adapting the RITM-200 edge-cutting low-power ship-based technology to land-based deployment. The compactness, integral layout and reduced construction rates are principal features of the design as compared to high-power nuclear power plants.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For reference:</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Rosatom State Corporation Engineering Division unites the leading companies of the nuclear industry, namely: Atomstroyexport JSC (Moscow, Nizhny Novgorod, branches in Russia and abroad), Joint Design Institute – Atomenergoproekt JSC (Moscow, Nizhny Novgorod, St. Petersburg branches – design institutes, branches in Russia and abroad, R&amp;D branches) and subsidiary construction organizations.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Engineering Division ranks first in the world by the order portfolio and the number of NPPs constructed simultaneously across the world. About 80 % of the Division’s revenues originate from foreign projects.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Engineering Division implements construction projects for high-power NPPs in Russia and across the world, renders a full range of EPC, EP, EPC(M) services including project management and design activities, and develops Multi-D technologies for the management of complex engineering facilities. The Division relies on the achievements of the Russian nuclear industry and modern cutting-edge technologies.</w:t>
      </w:r>
    </w:p>
    <w:p w:rsidR="00000000" w:rsidDel="00000000" w:rsidP="00000000" w:rsidRDefault="00000000" w:rsidRPr="00000000" w14:paraId="00000023">
      <w:pPr>
        <w:rPr/>
      </w:pPr>
      <w:r w:rsidDel="00000000" w:rsidR="00000000" w:rsidRPr="00000000">
        <w:rPr>
          <w:rtl w:val="0"/>
        </w:rPr>
        <w:t xml:space="preserve">We construct reliable and safe NPPs with Gen III+ VVER reactors that are in line with all international requirements and recommendations.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Russia is consistently developing international trade and economic relations, focusing on cooperation with friendly countries. Despite external restrictions, the domestic economy is augmenting its export potential to supply goods, services and raw materials all over the world. The implementation of major international energy projects is underway. Rosatom and its enterprises are taking an active part in this work.</w:t>
      </w:r>
    </w:p>
    <w:p w:rsidR="00000000" w:rsidDel="00000000" w:rsidP="00000000" w:rsidRDefault="00000000" w:rsidRPr="00000000" w14:paraId="00000026">
      <w:pPr>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rmal (Web)"/>
    <w:basedOn w:val="a"/>
    <w:uiPriority w:val="99"/>
    <w:unhideWhenUsed w:val="1"/>
    <w:rsid w:val="00B77376"/>
    <w:pPr>
      <w:spacing w:after="100" w:afterAutospacing="1" w:before="100" w:beforeAutospacing="1"/>
    </w:pPr>
    <w:rPr>
      <w:rFonts w:ascii="Times New Roman" w:cs="Times New Roman" w:eastAsia="Times New Roman" w:hAnsi="Times New Roman"/>
      <w:lang w:eastAsia="ru-RU" w:val="ru-RU"/>
    </w:rPr>
  </w:style>
  <w:style w:type="paragraph" w:styleId="v1msonormal" w:customStyle="1">
    <w:name w:val="v1msonormal"/>
    <w:basedOn w:val="a"/>
    <w:rsid w:val="00D009DA"/>
    <w:pPr>
      <w:spacing w:after="100" w:afterAutospacing="1" w:before="100" w:beforeAutospacing="1"/>
    </w:pPr>
    <w:rPr>
      <w:rFonts w:ascii="Times New Roman" w:cs="Times New Roman" w:eastAsia="Times New Roman" w:hAnsi="Times New Roman"/>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bNkOB99MmEtcSLN9LpAsI16Gg==">CgMxLjA4AHIhMVEtSUtGdlhFYUJMNE1lZG1Rc05oZG16dThWdlExVUg0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2024-09-10T11:14:00Z</dcterms:created>
  <dc:creator>b v</dc:creator>
</cp:coreProperties>
</file>