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32" w:before="0" w:after="120"/>
        <w:ind w:left="0" w:hanging="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Росатом делает значительный шаг вперед в трансмутации отходов уранового топлива</w:t>
      </w:r>
    </w:p>
    <w:p>
      <w:pPr>
        <w:pStyle w:val="Normal1"/>
        <w:spacing w:lineRule="auto" w:line="232" w:before="0" w:after="120"/>
        <w:ind w:left="0" w:hanging="0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Впервые изготовлено МОКС-топливо с минорными актинидами для реактора на быстрых нейтронах БН-800</w:t>
      </w:r>
    </w:p>
    <w:p>
      <w:pPr>
        <w:pStyle w:val="Normal1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 </w:t>
      </w:r>
    </w:p>
    <w:p>
      <w:pPr>
        <w:pStyle w:val="Normal1"/>
        <w:spacing w:lineRule="auto" w:line="232" w:before="0" w:after="120"/>
        <w:ind w:firstLine="7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 Горно-химическом комбинате Росатома в г. Железногорск Красноярского края (ФГУП «ГХК») состоялась приемка первых трех тепловыделяющих сборок с уран-плутониевым МОКС-топливом, которые в своей топливной композиции содержат не только плутоний, но и другие трансурановые элементы — америций-241 и нептуний-237. Опытные топливные кассеты будут загружены в реактор БН-800 на Белоярской АЭС весной 2024 года и пройдут опытно-промышленную эксплуатацию в течение трех микрокампаний (ориентировочно полтора года).</w:t>
      </w:r>
    </w:p>
    <w:p>
      <w:pPr>
        <w:pStyle w:val="Normal1"/>
        <w:spacing w:lineRule="auto" w:line="232" w:before="0" w:after="120"/>
        <w:ind w:firstLine="7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Минорные актиниды (также называемые «младшие актиноиды») — это все остальные трансурановые элементы, помимо плутония, образующиеся в ядерном топливе в результате ядерных реакций во время эксплуатации в реакторе. Как и плутоний, эти элементы не встречаются в природе, а возникают только в результате трансмутации урана. Для атомщиков-радиохимиков особенно важны изотопы нептуния, америция и кюрия, поскольку именно они имеют наибольшее значение при переработке отработавшего ядерного топлива (ОЯТ) и обращении с радиоактивными отходами. Эти элементы обладают высокой радиоактивностью и токсичностью, выделяют много тепла, имеют большой период полураспада и являются наиболее опасными компонентами ядерных отходов.</w:t>
      </w:r>
    </w:p>
    <w:p>
      <w:pPr>
        <w:pStyle w:val="Normal1"/>
        <w:spacing w:lineRule="auto" w:line="232" w:before="0" w:after="120"/>
        <w:ind w:firstLine="7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Российским решением проблемы минорных актинидов должны стать инновационные реакторы на быстрых нейтронах. В качестве топлива эти установки могут использовать не только обогащенный природный уран, но и вторичные продукты ядерного топливного цикла — обедненный уран и плутоний. Кроме того, расчеты показали, что минорные актиниды из ОЯТ под действием быстрых нейтронов в реакторе будут делиться на осколки, представляющие собой достаточно широкий спектр радиоактивных и стабильных изотопов, но в целом их потенциальная опасность будет гораздо ниже, чем у исходных минорных актинидов. Процесс трансмутации минорных актинидов также называют дожиганием в реакторе.</w:t>
      </w:r>
    </w:p>
    <w:p>
      <w:pPr>
        <w:pStyle w:val="Normal1"/>
        <w:spacing w:lineRule="auto" w:line="232" w:before="0" w:after="120"/>
        <w:ind w:firstLine="7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«Россия продолжает шаг за шагом использовать те уникальные преимущества, которые дают нашей отрасли мощные реакторы на быстрых нейтронах. Внедрение МОКС-топлива позволяет многократно расширить сырьевую базу атомной энергетики за счет обедненного урана и плутония и перерабатывать облученное топливо вместо хранения. Дожигание минорных актинидов — это следующий шаг в замыкании ядерного топливного цикла, который должен не только уменьшить количество ядерных отходов, подлежащих финальной изоляции, но и значительно снизить их радиоактивность. В перспективе это дает возможность отказаться от сложного и дорогостоящего глубинного захоронения отходов», — прокомментировал старший вице-президент по научно-технической деятельности АО «ТВЭЛ» Александр Угрюмов. </w:t>
      </w:r>
    </w:p>
    <w:p>
      <w:pPr>
        <w:pStyle w:val="Normal1"/>
        <w:spacing w:lineRule="auto" w:line="232" w:before="0" w:after="120"/>
        <w:ind w:firstLine="7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Технология МОКС-топлива (в том числе с минорными актинидами) разработана специалистами ВНИИНМ им. А. А. Бочвара под руководством Топливной компании Росатома «ТВЭЛ». Опытные МОКС-ТВС с америцием-241 и нептунием-237 были изготовлены на промышленном оборудовании ФГУП «ГХК» по штатной технологии. </w:t>
      </w:r>
    </w:p>
    <w:p>
      <w:pPr>
        <w:pStyle w:val="Normal1"/>
        <w:spacing w:lineRule="auto" w:line="232" w:before="0" w:after="120"/>
        <w:ind w:firstLine="7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Изготовление ТВС с минорными актинидами и их испытание в реакторе БН-800 — ключевой этап комплексной научно-технической программы Топливной компании Росатома «ТВЭЛ» по дожиганию минорных актинидов. Она появилась в 2021 году как часть продуктового направления «Сбалансированный ядерный топливный цикл» и рассчитана до 2035 года. Программа включает задачи по выделению минорных актинидов в отдельные фракции, их промежуточное хранение, вовлечение в топливо быстрых реакторов, эксплуатацию такого топлива, послереакторные исследования и др. Еще один важный аспект — оптимизация реакторных установок для выжигания максимального количества минорных актинидов.</w:t>
      </w:r>
    </w:p>
    <w:p>
      <w:pPr>
        <w:pStyle w:val="Normal1"/>
        <w:spacing w:lineRule="auto" w:line="232" w:before="0" w:after="120"/>
        <w:ind w:left="0" w:hanging="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>
      <w:pPr>
        <w:pStyle w:val="Normal1"/>
        <w:spacing w:lineRule="auto" w:line="232" w:before="0" w:after="120"/>
        <w:ind w:firstLine="700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В реакторах на тепловых нейтронах, составляющих основу современной атомной энергетики, используется около 1% природного урана, оставшиеся 99% направляются на временное хранение или утилизируются как радиоактивные отходы. «Быстрые» реакторы, используя в качестве топлива смесь оксидов урана и плутония, могут нарабатывать плутоний в количестве, достаточном для обеспечения расширенного развития атомной энергетики.</w:t>
      </w:r>
    </w:p>
    <w:p>
      <w:pPr>
        <w:pStyle w:val="Normal1"/>
        <w:shd w:val="clear" w:fill="FFFFFF"/>
        <w:ind w:firstLine="700"/>
        <w:jc w:val="both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Сбалансированный ядерный топливный цикл</w:t>
      </w:r>
      <w:r>
        <w:rPr>
          <w:i/>
          <w:sz w:val="24"/>
          <w:szCs w:val="24"/>
        </w:rPr>
        <w:t xml:space="preserve"> (ЯТЦ) — это продукт Госкорпорации «Росатом», основанный на инновационных практических решениях в области замыкания ядерного топливного цикла, позволяющих эффективно переработать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</w:t>
      </w:r>
    </w:p>
    <w:p>
      <w:pPr>
        <w:pStyle w:val="Normal1"/>
        <w:shd w:val="clear" w:fill="FFFFFF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Сбалансированный ЯТЦ ставит своей основной задачей принципиальное снижение объема и активности радиоактивных отходов, направляемых на захоронение. Сбалансированный ЯТЦ позволяет:</w:t>
      </w:r>
    </w:p>
    <w:p>
      <w:pPr>
        <w:pStyle w:val="Normal1"/>
        <w:shd w:val="clear" w:fill="FFFFFF"/>
        <w:ind w:left="86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>повысить безопасность обращения с отходами ядерной энергетики и снизить экологические риски;</w:t>
      </w:r>
    </w:p>
    <w:p>
      <w:pPr>
        <w:pStyle w:val="Normal1"/>
        <w:shd w:val="clear" w:fill="FFFFFF"/>
        <w:ind w:left="86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>решить проблему будущих поколений и обеспечить устойчивую модель потребления и производства;</w:t>
      </w:r>
    </w:p>
    <w:p>
      <w:pPr>
        <w:pStyle w:val="Normal1"/>
        <w:shd w:val="clear" w:fill="FFFFFF"/>
        <w:ind w:left="86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>минимизировать объемы и степени опасности подлежащих захоронению отходов;</w:t>
      </w:r>
    </w:p>
    <w:p>
      <w:pPr>
        <w:pStyle w:val="Normal1"/>
        <w:shd w:val="clear" w:fill="FFFFFF"/>
        <w:ind w:left="86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>повторно вовлечь ценное сырье в ЯТЦ — рециклировать ядерные материалы.</w:t>
      </w:r>
    </w:p>
    <w:p>
      <w:pPr>
        <w:pStyle w:val="Normal1"/>
        <w:spacing w:lineRule="auto" w:line="223"/>
        <w:jc w:val="center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417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670</Words>
  <Characters>4908</Characters>
  <CharactersWithSpaces>5576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