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25.09.24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ACRA confirmed a high ESG rating of Rosatom</w:t>
      </w:r>
    </w:p>
    <w:p w:rsidR="00000000" w:rsidDel="00000000" w:rsidP="00000000" w:rsidRDefault="00000000" w:rsidRPr="00000000" w14:paraId="0000000C">
      <w:pPr>
        <w:jc w:val="center"/>
        <w:rPr>
          <w:i w:val="1"/>
        </w:rPr>
      </w:pPr>
      <w:r w:rsidDel="00000000" w:rsidR="00000000" w:rsidRPr="00000000">
        <w:rPr>
          <w:i w:val="1"/>
          <w:rtl w:val="0"/>
        </w:rPr>
        <w:t xml:space="preserve">The current rating is confirmed at the level of ESG-2 (ESG-АА)</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ACRA Rating Agency confirmed the rating of Rosatom in the area of sustainable development (the ESG rating) at the level of ESG-2 (corresponding to "a very high grade"). The grade remains unchanged as compared with the results of 2023.</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Six main divisions took part in formation of the final ESG rating: Ore Mining, Power Engineering, Fuel, Engineering, Machine Building, and also the Sales and Trading Division. The divisions under consideration in the aggregate account for more than 70% of Rosatom's consolidated proceeds.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high ESG rating value is due to favorable parameters of the company in the area of environmental protection, social responsibility and corporate management as compared with the companies within the selection, as well as regular improvement of internal policies and procedures for various aspects of sustainable development. In particular, the industry code of ethics was updated, the methodological guidelines for management of natural and climatic risks were developed and approved in the corporation within the past year.</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Subsequent to the assessment results, and for the purposes of further development ACRA recommended, inter alia, to develop the biological diversity protection policy; to establish additional target performance parameters for individual ESG aspects; to develop and implement the supplier code in individual divisions.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"Rosatom traditionally ranks high in various ESG ratings. Detailed assessment of ACRA helps us to detect any bottlenecks in individual aspects of sustainable development. After each assessment cycle we investigate the impediments and develop an action plan for each division. The ESG rating of ACRA is a real tool to enhance our ESG quality," Polina Lion, Director of the Sustainable Development Department of Rosatom, noted.</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ACRA rating agency increased the ESG rating of Rosatom from ESG-3 to ESG-2 during the previous assessment cycle in September, 2023.</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Detailed ESG assessment results for Rosatom are presented at the website of ACRA </w:t>
      </w:r>
      <w:hyperlink r:id="rId9">
        <w:r w:rsidDel="00000000" w:rsidR="00000000" w:rsidRPr="00000000">
          <w:rPr>
            <w:color w:val="1155cc"/>
            <w:u w:val="single"/>
            <w:rtl w:val="0"/>
          </w:rPr>
          <w:t xml:space="preserve">https://www.acra-ratings.ru/press-releases/5108/</w:t>
        </w:r>
      </w:hyperlink>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b w:val="1"/>
        </w:rPr>
      </w:pPr>
      <w:r w:rsidDel="00000000" w:rsidR="00000000" w:rsidRPr="00000000">
        <w:rPr>
          <w:b w:val="1"/>
          <w:rtl w:val="0"/>
        </w:rPr>
        <w:t xml:space="preserve">For reference:</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Rosatom is a multi-industry holding company comprising assets in power engineering, machine building and construction.  Rosatom's areas of activities also include production of innovative non-nuclear products, logistics and development of the Northern Sea Route, implementation of environmental projects. Rosatom unites over 460 enterprises and organizations employing more than 393,000 people.</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The confirmed "green" quality of the activities is one of the long-term strategic development principles for Rosatom. Rosatom is consistently implementing the steps for transition to the "green" economy and making efforts to reduce any negative impact on the environment. Rosatom is the largest producer of low-carbon electric energy in Russia providing about 20% of the total quantity of electric energy generated in the country.</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t xml:space="preserve">Analytical Credit Rating Agency (ACRA) was established in 2015 within the framework of the rating industry reforming. ACRA provides a high-quality rating product for the users at the Russian rating market, including credit ratings and non-credit evaluation. ACRA supports more than 1000 existing credit ratings, including the ratings according to the international rating scale. ACRA assigns credit ratings to various categories of issuers and issuances. Recipients of the ratings include sovereign borrowers, structured financial instruments, regional and municipal authorities, banks and financial institutions, the corporate sector enterprises, issuers, various financial instruments and project financing liabilities. Besides, ACRA is the only credit rating agency in Russia which assigns ESG grades continuing to use international comparisons. The aggregate amount of funds raised with the use of the sustainable development financial instruments verified by ACRA is more than 150 bln. RUR. Methodologies and internal documents of ACRA are developed in accordance with the requirements of the Russian legislation and with due regard for the best international practices in the rating activities. </w:t>
      </w:r>
      <w:hyperlink r:id="rId10">
        <w:r w:rsidDel="00000000" w:rsidR="00000000" w:rsidRPr="00000000">
          <w:rPr>
            <w:color w:val="1155cc"/>
            <w:u w:val="single"/>
            <w:rtl w:val="0"/>
          </w:rPr>
          <w:t xml:space="preserve">www.acra-ratings.ru</w:t>
        </w:r>
      </w:hyperlink>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acra-ratings.ru" TargetMode="External"/><Relationship Id="rId9" Type="http://schemas.openxmlformats.org/officeDocument/2006/relationships/hyperlink" Target="https://www.acra-ratings.ru/press-releases/510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6tRS24Errm1wV783LuFywkKIyw==">CgMxLjA4AHIhMVZ4UzdHdUF2ODJtbUliZ3BWSmxlVTJreUJEaFdUS2tp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