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Топливный дивизион Росатома</w:t>
      </w:r>
      <w:r w:rsidDel="00000000" w:rsidR="00000000" w:rsidRPr="00000000">
        <w:rPr>
          <w:b w:val="1"/>
          <w:sz w:val="28"/>
          <w:szCs w:val="28"/>
          <w:rtl w:val="0"/>
        </w:rPr>
        <w:t xml:space="preserve"> окажет содействие в развитии электрозарядной инфраструктуры в Калининградской области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Соглашение о реализации проектов подписано в рамках ПМЭФ-2024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5 июня 2024 года н</w:t>
      </w:r>
      <w:r w:rsidDel="00000000" w:rsidR="00000000" w:rsidRPr="00000000">
        <w:rPr>
          <w:rtl w:val="0"/>
        </w:rPr>
        <w:t xml:space="preserve">а Петербургском международном экономическом форуме </w:t>
      </w:r>
      <w:r w:rsidDel="00000000" w:rsidR="00000000" w:rsidRPr="00000000">
        <w:rPr>
          <w:rtl w:val="0"/>
        </w:rPr>
        <w:t xml:space="preserve">АО «ТВЭЛ» (топливный дивизион Госкорпорации «Росатом»)</w:t>
      </w:r>
      <w:r w:rsidDel="00000000" w:rsidR="00000000" w:rsidRPr="00000000">
        <w:rPr>
          <w:rtl w:val="0"/>
        </w:rPr>
        <w:t xml:space="preserve"> и АО «Россети Янтарь» заключили соглашение о развитии электрозарядной инфраструктуры на территории Калининградской области. Документ подписали президент АО «ТВЭЛ» Наталья Никипелова и генеральный директор «Россети Северо-Запад», исполняющий обязанности генерального директора «Россети Янтарь» Артем Пидник.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Соглашение предусматривает размещение двух электрозарядных хабов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tl w:val="0"/>
        </w:rPr>
        <w:t xml:space="preserve">по 15 станций быстрой зарядки, в том числе 10 станций общей мощностью 1,5 МВт)</w:t>
      </w:r>
      <w:r w:rsidDel="00000000" w:rsidR="00000000" w:rsidRPr="00000000">
        <w:rPr>
          <w:rtl w:val="0"/>
        </w:rPr>
        <w:t xml:space="preserve">). Производителем оборудования для электрозарядных хабов выступает ООО «Парус электро» (входит в Госкорпорацию «Росатом</w:t>
      </w:r>
      <w:r w:rsidDel="00000000" w:rsidR="00000000" w:rsidRPr="00000000">
        <w:rPr>
          <w:color w:val="1f497d"/>
          <w:sz w:val="32"/>
          <w:szCs w:val="32"/>
          <w:highlight w:val="white"/>
          <w:rtl w:val="0"/>
        </w:rPr>
        <w:t xml:space="preserve">»)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АО «Россети Янтарь», являясь инфраструктурным партнером АО «ТВЭЛ», обеспечит технологическое присоединение электрозарядных хабов к электрическим сетям.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Соглашение реализуется в рамках мероприятий стратегии по развитию электротранспорта в Российской Федерации, а также программы развития электромобильности Калининградской области, утвержденной правительством Калининградской области.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Электродвижение — новое перспективное бизнес-направление Росатома. Координацией развития этого бизнеса занимается АО «ТВЭЛ» — управляющая компания топливного дивизиона. Опираясь на научный, технологический и производственный потенциал предприятий атомной промышленности, Росатом ставит своей целью внести максимальный вклад в решение задачи национального масштаба — формирование в России успешного массового производства электротранспорта, а также необходимой инфраструктуры и регуляторной среды.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Предприятия Росатома потенциально способны производить около 60% всех компонентов электромобиля, включая аккумуляторные батареи, электродвигатели, магниты из сплавов редкоземельных металлов (включая РЗМ-сырье), микрокомпонентную базу, полимерные и композитные материалы. Объединение усилий электроэнергетического дивизиона Госкорпорации, а также дивизиона «АСУ ТП и электротехника» позволит создавать сети электрозарядных станций на оборудовании российского производства. Кроме того, Росатом намерен внедрять на российском рынке новые сервисы для владельцев электромобилей.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Сотрудничество Росатома с регионами в области электромобильности основано на комплексном подходе, который включает шаги по внедрению электротранспорта, в том числе пассажирского, и развитию электрозарядной инфраструктуры для стимулирования перехода на электромобили.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Росатома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технологиям, системам накопления электроэнергии и выводу из эксплуатации ЯРОО. http://www.tvel.ru.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mF8fVuboDtWZHsC2ud4A/1/1LA==">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