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Корпоративная Академия Росатома стала лауреатом Международной премии Eventiada</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Жюри высоко оценило </w:t>
      </w:r>
      <w:r w:rsidDel="00000000" w:rsidR="00000000" w:rsidRPr="00000000">
        <w:rPr>
          <w:i w:val="1"/>
          <w:sz w:val="24"/>
          <w:szCs w:val="24"/>
          <w:rtl w:val="0"/>
        </w:rPr>
        <w:t xml:space="preserve">ее роль</w:t>
      </w:r>
      <w:r w:rsidDel="00000000" w:rsidR="00000000" w:rsidRPr="00000000">
        <w:rPr>
          <w:i w:val="1"/>
          <w:sz w:val="24"/>
          <w:szCs w:val="24"/>
          <w:rtl w:val="0"/>
        </w:rPr>
        <w:t xml:space="preserve"> в работе по развитию экосистемы кадрового потенциала Госкорпорации</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Корпоративная Академия Росатома стала лауреатом Международной премии Eventiada в номинации «Лучший корпоративный бренд». Торжественная церемония вручения премии прошла 5 декабря в мультимедийном пресс-центре МИА «Россия сегодня». </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Мероприятие объединило компании, корпорации, организации и людей, реализующих проекты в области коммуникаций.</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По мнению генерального директора Корпоративной Академии Росатома Юлии Ужакиной, Академия — это связующее звено для всей экосистемы кадрового потенциала, созданной Росатомом. Она помогает развивать экосистему с помощью целого ряда инструментов. Так, в Академии создано более 300 программ, направленных на развитие лидерских, управленческих и бизнес-компетенций, обучение корпоративным функциям, подготовку рабочих и инженерных кадров. Кроме того, Академия помогает развитию цифровых сервисов, которые делают образование доступным для каждого сотрудника. На мобильной образовательной платформе «РЕКОРД mobile», охватывающей 15 млн человек, сегодня выкладываются все записи вебинаров и выступлений руководителей отрасли, тренинги экспертов. Помимо этого, Корпоративная Академия развивает корпоративную культуру и культуру безопасного поведения.</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«Сегодня непростые времена для коммуникаций, но наш ответ — целая экосистема развития кадрового потенциала, — отметила заместитель генерального директора — директор Блока международных инициатив и партнерств Корпоративной Академии </w:t>
      </w:r>
      <w:r w:rsidDel="00000000" w:rsidR="00000000" w:rsidRPr="00000000">
        <w:rPr>
          <w:sz w:val="24"/>
          <w:szCs w:val="24"/>
          <w:rtl w:val="0"/>
        </w:rPr>
        <w:t xml:space="preserve">Росатома</w:t>
      </w:r>
      <w:r w:rsidDel="00000000" w:rsidR="00000000" w:rsidRPr="00000000">
        <w:rPr>
          <w:sz w:val="24"/>
          <w:szCs w:val="24"/>
          <w:rtl w:val="0"/>
        </w:rPr>
        <w:t xml:space="preserve"> Гульнара Биккулова. — Она охватывает и тех, кто работает внутри Росатома, и тех, кто находится рядом. Это более 350 тысяч человек в отрасли и порядка 2 млн человек в наших „атомных“ городах. Мы стараемся дотянуться до каждого, сделать так, чтобы каждый понимал и разделял наши ценности, и делаем это через абсолютно разные форматы мероприятий, образовательные программы, работу с сообществами. Спасибо членам жюри за высокую оценку наших усилий!»</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Справка:</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sz w:val="24"/>
          <w:szCs w:val="24"/>
          <w:rtl w:val="0"/>
        </w:rPr>
        <w:t xml:space="preserve">Премия Eventiada уже 12-й раз вручается компаниям и людям, демонстрирующим высочайший уровень креативности, инновационность подхода, значительные результаты и безукоризненную реализацию проектов в области коммуникаций. Она включает в себя более 30 номинаций по направлениям: ESG-проекты, маркетинговые коммуникации, корпоративные коммуникации, персональные достижения и вклад молодежи. В этом году на соискание премии свои достижения представили международные и национальные корпорации, глобальные и региональные общественные организации, коммерческие и некоммерческие структуры, коммуникационные компании, а также креативная молодежь из 15 стран. </w:t>
      </w:r>
      <w:r w:rsidDel="00000000" w:rsidR="00000000" w:rsidRPr="00000000">
        <w:rPr>
          <w:sz w:val="24"/>
          <w:szCs w:val="24"/>
          <w:rtl w:val="0"/>
        </w:rPr>
        <w:t xml:space="preserve">Организатором премии является КГ «Орта» в партнерстве с Ассоциацией менеджеров России, АКОС, РАОС и рядом других организаций.</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w:t>
      </w:r>
    </w:p>
    <w:p w:rsidR="00000000" w:rsidDel="00000000" w:rsidP="00000000" w:rsidRDefault="00000000" w:rsidRPr="00000000" w14:paraId="00000011">
      <w:pPr>
        <w:rPr/>
      </w:pPr>
      <w:r w:rsidDel="00000000" w:rsidR="00000000" w:rsidRPr="00000000">
        <w:rPr>
          <w:rtl w:val="0"/>
        </w:rPr>
      </w:r>
    </w:p>
    <w:sectPr>
      <w:pgSz w:h="16838" w:w="11906" w:orient="portrait"/>
      <w:pgMar w:bottom="1440.0000000000002" w:top="1133.8582677165355"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