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-142" w:tblpY="0"/>
        <w:tblW w:w="1077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518"/>
        <w:gridCol w:w="4120"/>
        <w:gridCol w:w="5136"/>
        <w:tblGridChange w:id="0">
          <w:tblGrid>
            <w:gridCol w:w="1518"/>
            <w:gridCol w:w="4120"/>
            <w:gridCol w:w="51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20957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b="0" l="0" r="0" t="0"/>
                  <wp:wrapSquare wrapText="bothSides" distB="0" distT="0" distL="114300" distR="114300"/>
                  <wp:docPr id="150663057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665" cy="6203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03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Медиацентр атомной</w:t>
            </w:r>
          </w:p>
          <w:p w:rsidR="00000000" w:rsidDel="00000000" w:rsidP="00000000" w:rsidRDefault="00000000" w:rsidRPr="00000000" w14:paraId="00000004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промышленности</w:t>
              <w:br w:type="textWrapping"/>
            </w:r>
            <w:hyperlink r:id="rId8">
              <w:r w:rsidDel="00000000" w:rsidR="00000000" w:rsidRPr="00000000">
                <w:rPr>
                  <w:color w:val="0563c1"/>
                  <w:sz w:val="28"/>
                  <w:szCs w:val="28"/>
                  <w:u w:val="single"/>
                  <w:rtl w:val="0"/>
                </w:rPr>
                <w:t xml:space="preserve">atommedia.online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ind w:right="560"/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Пресс-релиз</w:t>
            </w:r>
          </w:p>
          <w:p w:rsidR="00000000" w:rsidDel="00000000" w:rsidP="00000000" w:rsidRDefault="00000000" w:rsidRPr="00000000" w14:paraId="00000006">
            <w:pPr>
              <w:ind w:right="560"/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24.06.24</w:t>
            </w:r>
          </w:p>
        </w:tc>
      </w:tr>
    </w:tbl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На стройплощадке блока № 2 Курской АЭС-2 завершено бетонирование фундаментной плиты под турбоагрегат </w:t>
      </w:r>
    </w:p>
    <w:p w:rsidR="00000000" w:rsidDel="00000000" w:rsidP="00000000" w:rsidRDefault="00000000" w:rsidRPr="00000000" w14:paraId="00000009">
      <w:pPr>
        <w:spacing w:line="276" w:lineRule="auto"/>
        <w:jc w:val="center"/>
        <w:rPr/>
      </w:pPr>
      <w:r w:rsidDel="00000000" w:rsidR="00000000" w:rsidRPr="00000000">
        <w:rPr>
          <w:i w:val="1"/>
          <w:rtl w:val="0"/>
        </w:rPr>
        <w:t xml:space="preserve">На ней будут монтироваться составные части турбины массой 3500 тонн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/>
      </w:pPr>
      <w:r w:rsidDel="00000000" w:rsidR="00000000" w:rsidRPr="00000000">
        <w:rPr>
          <w:rtl w:val="0"/>
        </w:rPr>
        <w:t xml:space="preserve">На стройплощадке блока № 2 второй очереди Курской АЭС (филиал АО «Концерн Росэнергоатом», электроэнергетический дивизион госкорпорации «Росатом») завершено бетонирование фундаментной плиты под турбоагрегат.</w:t>
      </w:r>
    </w:p>
    <w:p w:rsidR="00000000" w:rsidDel="00000000" w:rsidP="00000000" w:rsidRDefault="00000000" w:rsidRPr="00000000" w14:paraId="0000000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/>
      </w:pPr>
      <w:r w:rsidDel="00000000" w:rsidR="00000000" w:rsidRPr="00000000">
        <w:rPr>
          <w:rtl w:val="0"/>
        </w:rPr>
        <w:t xml:space="preserve">Фундаментная плита, габариты которой 95 на 61 метр, — это важный элемент всего машинного зала, являющийся частью турбоагрегата. На ней будут монтироваться составные части турбины, общая масса которой — около 3500 тонн. Фундамент должен обеспечивать равномерное распределение нагрузки с учетом уровня вибрации, образующейся во время работы крупногабаритного оборудования. Для этого толщина верхней фундаментной плиты варьируется от 4,6 до 5,3 метра в разных частях (в зависимости от силы оказываемой нагрузки).</w:t>
      </w:r>
    </w:p>
    <w:p w:rsidR="00000000" w:rsidDel="00000000" w:rsidP="00000000" w:rsidRDefault="00000000" w:rsidRPr="00000000" w14:paraId="0000000E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rPr/>
      </w:pPr>
      <w:r w:rsidDel="00000000" w:rsidR="00000000" w:rsidRPr="00000000">
        <w:rPr>
          <w:rtl w:val="0"/>
        </w:rPr>
        <w:t xml:space="preserve">«При устройстве монолитного фундамента применена современная система виброизоляции. Она автоматически минимизирует уровень вибрации и колебания при эксплуатации. Весь фундамент состоит из нижней плиты, железобетонных колонн и верхней фундаментной плиты с системой виброизоляции: 89 виброизоляторов массой около 600 килограммов каждый», — прокомментировал директор Курской АЭС Александр Увакин.</w:t>
      </w:r>
    </w:p>
    <w:p w:rsidR="00000000" w:rsidDel="00000000" w:rsidP="00000000" w:rsidRDefault="00000000" w:rsidRPr="00000000" w14:paraId="00000010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/>
      </w:pPr>
      <w:r w:rsidDel="00000000" w:rsidR="00000000" w:rsidRPr="00000000">
        <w:rPr>
          <w:rtl w:val="0"/>
        </w:rPr>
        <w:t xml:space="preserve">«Процесс бетонирования фундамента составил 36 часов и проходил в несколько этапов. На каждом этапе осуществлялся контроль качества выполняемых работ. Учитывая, что в период эксплуатации фундамент будет нести динамические нагрузки, а при этом велика опасность расслоения бетона, особые требования в процессе бетонирования применялись к качеству бетонной смеси. Для бетонирования применялась самоуплотняющаяся бетонная смесь. Фактический объем бетонирования составил 2454 кубических метра. В работах было задействовано около 70 специалистов подрядной организации АО „Концерн Титан-2“. В течение 28 суток с момента укладки смеси бетон будет набирать проектную прочность», — пояснил вице-президент АО «Атомстройэкспорт», директор проекта по сооружению Курской АЭС-2 Олег Шперле.</w:t>
      </w:r>
    </w:p>
    <w:p w:rsidR="00000000" w:rsidDel="00000000" w:rsidP="00000000" w:rsidRDefault="00000000" w:rsidRPr="00000000" w14:paraId="0000001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Справка:</w:t>
      </w:r>
    </w:p>
    <w:p w:rsidR="00000000" w:rsidDel="00000000" w:rsidP="00000000" w:rsidRDefault="00000000" w:rsidRPr="00000000" w14:paraId="0000001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rPr/>
      </w:pPr>
      <w:r w:rsidDel="00000000" w:rsidR="00000000" w:rsidRPr="00000000">
        <w:rPr>
          <w:rtl w:val="0"/>
        </w:rPr>
        <w:t xml:space="preserve">Курская АЭС-2 — станция замещения, включающая два блока мощностью 1255 МВт каждый. Сооружение энергоблоков № 1 и 2 Курской АЭС-2 осуществляется в рамках федерального проекта «Проектирование и строительство референтных энергоблоков атомных электростанций» Комплексной программы «Развитие техники, технологий и научных исследований в области использования атомной энергии в Российской Федерации на период до 2024 года». Строительство Курской АЭС-2 имеет стратегическое значение для устойчивого развития атомной промышленности.  </w:t>
      </w:r>
    </w:p>
    <w:p w:rsidR="00000000" w:rsidDel="00000000" w:rsidP="00000000" w:rsidRDefault="00000000" w:rsidRPr="00000000" w14:paraId="0000001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/>
      </w:pPr>
      <w:r w:rsidDel="00000000" w:rsidR="00000000" w:rsidRPr="00000000">
        <w:rPr>
          <w:rtl w:val="0"/>
        </w:rPr>
        <w:t xml:space="preserve">Российская атомная отрасль трансформировалась из штучного производителя в конвейер атомных технологий, «фабрику реакторов», что позволяет занимать России лидирующие позиции в мире по экспорту атомных технологий. Сегодня доля выработки электроэнергии атомными станциями в энергобалансе России составляет около 20%, а к 2045 году должна достигнуть 25%. Такое поручение было дано госкорпорации «Росатом» Президентом России.</w:t>
      </w:r>
    </w:p>
    <w:p w:rsidR="00000000" w:rsidDel="00000000" w:rsidP="00000000" w:rsidRDefault="00000000" w:rsidRPr="00000000" w14:paraId="0000001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/>
      </w:pPr>
      <w:r w:rsidDel="00000000" w:rsidR="00000000" w:rsidRPr="00000000">
        <w:rPr>
          <w:rtl w:val="0"/>
        </w:rPr>
        <w:t xml:space="preserve">Топливно-энергетический комплекс (ТЭК) был и остается одной из важнейших составляющих экономики России, влияющей на развитие других отраслей промышленности. Президент и Правительство РФ ставят задачи по его развитию с целью укрепления производственного и технологического потенциала страны, повышения качества жизни граждан России. «Росатом» и его предприятия принимают активное участие в этой работе. </w:t>
      </w:r>
    </w:p>
    <w:p w:rsidR="00000000" w:rsidDel="00000000" w:rsidP="00000000" w:rsidRDefault="00000000" w:rsidRPr="00000000" w14:paraId="0000001A">
      <w:pPr>
        <w:ind w:right="560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134" w:top="45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Hyperlink">
    <w:name w:val="Hyperlink"/>
    <w:basedOn w:val="DefaultParagraphFont"/>
    <w:uiPriority w:val="99"/>
    <w:unhideWhenUsed w:val="1"/>
    <w:rsid w:val="00C562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C56287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C5628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56287"/>
  </w:style>
  <w:style w:type="paragraph" w:styleId="Footer">
    <w:name w:val="footer"/>
    <w:basedOn w:val="Normal"/>
    <w:link w:val="FooterChar"/>
    <w:uiPriority w:val="99"/>
    <w:unhideWhenUsed w:val="1"/>
    <w:rsid w:val="00C5628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56287"/>
  </w:style>
  <w:style w:type="character" w:styleId="FollowedHyperlink">
    <w:name w:val="FollowedHyperlink"/>
    <w:basedOn w:val="DefaultParagraphFont"/>
    <w:uiPriority w:val="99"/>
    <w:semiHidden w:val="1"/>
    <w:unhideWhenUsed w:val="1"/>
    <w:rsid w:val="00C5628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776E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VqQEAueXV5WjCDw0/p7iDCbiHg==">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2023-11-17T07:32:00Z</dcterms:created>
  <dc:creator>b v</dc:creator>
</cp:coreProperties>
</file>