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shd w:val="clear" w:fill="FFFFFF"/>
        <w:spacing w:lineRule="auto" w:line="288" w:before="0" w:after="200"/>
        <w:rPr>
          <w:rFonts w:ascii="Helvetica Neue" w:hAnsi="Helvetica Neue" w:eastAsia="Helvetica Neue" w:cs="Helvetica Neue"/>
          <w:b/>
        </w:rPr>
      </w:pPr>
      <w:r>
        <w:rPr>
          <w:rFonts w:eastAsia="Helvetica Neue" w:cs="Helvetica Neue" w:ascii="Helvetica Neue" w:hAnsi="Helvetica Neue"/>
          <w:b/>
        </w:rPr>
        <w:t>Belarus NPP</w:t>
      </w:r>
    </w:p>
    <w:tbl>
      <w:tblPr>
        <w:tblStyle w:val="Table1"/>
        <w:tblW w:w="8732" w:type="dxa"/>
        <w:jc w:val="left"/>
        <w:tblInd w:w="0" w:type="dxa"/>
        <w:tblLayout w:type="fixed"/>
        <w:tblCellMar>
          <w:top w:w="160" w:type="dxa"/>
          <w:left w:w="160" w:type="dxa"/>
          <w:bottom w:w="160" w:type="dxa"/>
          <w:right w:w="160" w:type="dxa"/>
        </w:tblCellMar>
        <w:tblLook w:val="0600"/>
      </w:tblPr>
      <w:tblGrid>
        <w:gridCol w:w="3802"/>
        <w:gridCol w:w="4929"/>
      </w:tblGrid>
      <w:tr>
        <w:trPr>
          <w:trHeight w:val="585" w:hRule="atLeast"/>
        </w:trPr>
        <w:tc>
          <w:tcPr>
            <w:tcW w:w="3802"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Location</w:t>
            </w:r>
          </w:p>
        </w:tc>
        <w:tc>
          <w:tcPr>
            <w:tcW w:w="4929"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 xml:space="preserve">Grodno region, Ostrovets </w:t>
            </w:r>
            <w:r>
              <w:rPr>
                <w:rFonts w:eastAsia="Helvetica Neue" w:cs="Helvetica Neue" w:ascii="Helvetica Neue" w:hAnsi="Helvetica Neue"/>
                <w:lang w:val="en-US"/>
              </w:rPr>
              <w:t>city</w:t>
            </w:r>
            <w:r>
              <w:rPr>
                <w:rFonts w:eastAsia="Helvetica Neue" w:cs="Helvetica Neue" w:ascii="Helvetica Neue" w:hAnsi="Helvetica Neue"/>
              </w:rPr>
              <w:t>, Republic of Belarus</w:t>
            </w:r>
          </w:p>
        </w:tc>
      </w:tr>
      <w:tr>
        <w:trPr>
          <w:trHeight w:val="585" w:hRule="atLeast"/>
        </w:trPr>
        <w:tc>
          <w:tcPr>
            <w:tcW w:w="3802"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Number of Power Units</w:t>
            </w:r>
          </w:p>
        </w:tc>
        <w:tc>
          <w:tcPr>
            <w:tcW w:w="4929"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2</w:t>
            </w:r>
          </w:p>
        </w:tc>
      </w:tr>
      <w:tr>
        <w:trPr>
          <w:trHeight w:val="585" w:hRule="atLeast"/>
        </w:trPr>
        <w:tc>
          <w:tcPr>
            <w:tcW w:w="3802"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Type of reactors</w:t>
            </w:r>
          </w:p>
        </w:tc>
        <w:tc>
          <w:tcPr>
            <w:tcW w:w="4929"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VVER-1200 ( |||+ safety generation )</w:t>
            </w:r>
          </w:p>
        </w:tc>
      </w:tr>
      <w:tr>
        <w:trPr>
          <w:trHeight w:val="585" w:hRule="atLeast"/>
        </w:trPr>
        <w:tc>
          <w:tcPr>
            <w:tcW w:w="3802"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Design capacity power units</w:t>
            </w:r>
          </w:p>
        </w:tc>
        <w:tc>
          <w:tcPr>
            <w:tcW w:w="4929"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2 х 1,200 MW</w:t>
            </w:r>
          </w:p>
        </w:tc>
      </w:tr>
      <w:tr>
        <w:trPr>
          <w:trHeight w:val="585" w:hRule="atLeast"/>
        </w:trPr>
        <w:tc>
          <w:tcPr>
            <w:tcW w:w="3802"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Customer</w:t>
            </w:r>
          </w:p>
        </w:tc>
        <w:tc>
          <w:tcPr>
            <w:tcW w:w="4929"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Belarus NPP PMM</w:t>
            </w:r>
          </w:p>
        </w:tc>
      </w:tr>
      <w:tr>
        <w:trPr>
          <w:trHeight w:val="585" w:hRule="atLeast"/>
        </w:trPr>
        <w:tc>
          <w:tcPr>
            <w:tcW w:w="3802"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General Designer</w:t>
            </w:r>
          </w:p>
        </w:tc>
        <w:tc>
          <w:tcPr>
            <w:tcW w:w="4929"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Atomenergoproekt, JSC</w:t>
            </w:r>
          </w:p>
        </w:tc>
      </w:tr>
      <w:tr>
        <w:trPr>
          <w:trHeight w:val="585" w:hRule="atLeast"/>
        </w:trPr>
        <w:tc>
          <w:tcPr>
            <w:tcW w:w="3802"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General Contractor</w:t>
            </w:r>
          </w:p>
        </w:tc>
        <w:tc>
          <w:tcPr>
            <w:tcW w:w="4929" w:type="dxa"/>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Atomstroyexport, JSC</w:t>
            </w:r>
          </w:p>
        </w:tc>
      </w:tr>
      <w:tr>
        <w:trPr>
          <w:trHeight w:val="855" w:hRule="atLeast"/>
        </w:trPr>
        <w:tc>
          <w:tcPr>
            <w:tcW w:w="8731" w:type="dxa"/>
            <w:gridSpan w:val="2"/>
            <w:tcBorders>
              <w:top w:val="single" w:sz="4" w:space="0" w:color="232323"/>
              <w:left w:val="single" w:sz="4" w:space="0" w:color="232323"/>
              <w:bottom w:val="single" w:sz="4" w:space="0" w:color="232323"/>
              <w:right w:val="single" w:sz="4" w:space="0" w:color="232323"/>
            </w:tcBorders>
          </w:tcPr>
          <w:p>
            <w:pPr>
              <w:pStyle w:val="Normal1"/>
              <w:widowControl w:val="false"/>
              <w:spacing w:lineRule="auto" w:line="240" w:before="0" w:after="0"/>
              <w:rPr>
                <w:rFonts w:ascii="Helvetica Neue" w:hAnsi="Helvetica Neue" w:eastAsia="Helvetica Neue" w:cs="Helvetica Neue"/>
              </w:rPr>
            </w:pPr>
            <w:r>
              <w:rPr>
                <w:rFonts w:eastAsia="Helvetica Neue" w:cs="Helvetica Neue" w:ascii="Helvetica Neue" w:hAnsi="Helvetica Neue"/>
              </w:rPr>
              <w:t>Construction under EPC–Contract (Engineering, procurement and construction) Multi-D is used</w:t>
            </w:r>
          </w:p>
        </w:tc>
      </w:tr>
    </w:tbl>
    <w:p>
      <w:pPr>
        <w:pStyle w:val="Normal1"/>
        <w:keepNext w:val="false"/>
        <w:keepLines w:val="false"/>
        <w:pageBreakBefore w:val="false"/>
        <w:widowControl/>
        <w:pBdr/>
        <w:shd w:val="clear" w:fill="auto"/>
        <w:spacing w:lineRule="auto" w:line="240" w:before="0" w:after="0"/>
        <w:ind w:left="0" w:right="0" w:hanging="0"/>
        <w:jc w:val="left"/>
        <w:rPr>
          <w:rFonts w:ascii="Helvetica Neue" w:hAnsi="Helvetica Neue" w:eastAsia="Helvetica Neue" w:cs="Helvetica Neue"/>
        </w:rPr>
      </w:pPr>
      <w:r>
        <w:rPr>
          <w:rFonts w:eastAsia="Helvetica Neue" w:cs="Helvetica Neue" w:ascii="Helvetica Neue" w:hAnsi="Helvetica Neue"/>
        </w:rPr>
      </w:r>
    </w:p>
    <w:p>
      <w:pPr>
        <w:pStyle w:val="Normal1"/>
        <w:keepNext w:val="false"/>
        <w:keepLines w:val="false"/>
        <w:pageBreakBefore w:val="false"/>
        <w:widowControl/>
        <w:pBdr/>
        <w:shd w:val="clear" w:fill="auto"/>
        <w:spacing w:lineRule="auto" w:line="240" w:before="0" w:after="200"/>
        <w:ind w:left="0" w:right="0" w:hanging="0"/>
        <w:jc w:val="left"/>
        <w:rPr>
          <w:rFonts w:ascii="Helvetica Neue" w:hAnsi="Helvetica Neue" w:eastAsia="Helvetica Neue" w:cs="Helvetica Neue"/>
        </w:rPr>
      </w:pPr>
      <w:r>
        <w:rPr>
          <w:rFonts w:eastAsia="Helvetica Neue" w:cs="Helvetica Neue" w:ascii="Helvetica Neue" w:hAnsi="Helvetica Neue"/>
        </w:rPr>
        <w:t>The single-source manufacturer of the key nuclear island equipment for Belarus NPP Unit 2 is Atomenergomash JSC (Machine-Building Division of Rosatom State Corporation).</w:t>
      </w:r>
    </w:p>
    <w:p>
      <w:pPr>
        <w:pStyle w:val="Normal1"/>
        <w:keepNext w:val="false"/>
        <w:keepLines w:val="false"/>
        <w:pageBreakBefore w:val="false"/>
        <w:widowControl/>
        <w:pBdr/>
        <w:shd w:val="clear" w:fill="auto"/>
        <w:spacing w:lineRule="auto" w:line="240" w:before="0" w:after="200"/>
        <w:ind w:left="0" w:right="0" w:hanging="0"/>
        <w:jc w:val="left"/>
        <w:rPr>
          <w:rFonts w:ascii="Helvetica Neue" w:hAnsi="Helvetica Neue" w:eastAsia="Helvetica Neue" w:cs="Helvetica Neue"/>
        </w:rPr>
      </w:pPr>
      <w:r>
        <w:rPr>
          <w:rFonts w:eastAsia="Helvetica Neue" w:cs="Helvetica Neue" w:ascii="Helvetica Neue" w:hAnsi="Helvetica Neue"/>
        </w:rPr>
        <w:t>Fuel assemblies are manufactured by Rosatom’s Fuel Division (TVEL JSC) at Novosibirsk Chemical Concentrates Plant (NZHK JSC), the enrichment level varies from 1.3 to 4.4%.</w:t>
      </w:r>
    </w:p>
    <w:p>
      <w:pPr>
        <w:pStyle w:val="Normal1"/>
        <w:keepNext w:val="false"/>
        <w:keepLines w:val="false"/>
        <w:pageBreakBefore w:val="false"/>
        <w:widowControl/>
        <w:pBdr/>
        <w:shd w:val="clear" w:fill="auto"/>
        <w:spacing w:lineRule="auto" w:line="240" w:before="0" w:after="200"/>
        <w:ind w:left="0" w:right="0" w:hanging="0"/>
        <w:jc w:val="left"/>
        <w:rPr>
          <w:rFonts w:ascii="Helvetica Neue" w:hAnsi="Helvetica Neue" w:eastAsia="Helvetica Neue" w:cs="Helvetica Neue"/>
        </w:rPr>
      </w:pPr>
      <w:r>
        <w:rPr>
          <w:rFonts w:eastAsia="Helvetica Neue" w:cs="Helvetica Neue" w:ascii="Helvetica Neue" w:hAnsi="Helvetica Neue"/>
        </w:rPr>
        <w:t xml:space="preserve">Belarus NPP Unit 1, which became the first nuclear facility of the newest generation III+ built abroad under Russian technologies, was taken over for commercial operation on June 10, 2021. The share of power generated by the unit is about 20% in the annual power balance of the country. </w:t>
      </w:r>
    </w:p>
    <w:p>
      <w:pPr>
        <w:pStyle w:val="Normal1"/>
        <w:keepNext w:val="false"/>
        <w:keepLines w:val="false"/>
        <w:pageBreakBefore w:val="false"/>
        <w:widowControl/>
        <w:pBdr/>
        <w:shd w:val="clear" w:fill="auto"/>
        <w:spacing w:lineRule="auto" w:line="240" w:before="0" w:after="200"/>
        <w:ind w:left="0" w:right="0" w:hanging="0"/>
        <w:jc w:val="left"/>
        <w:rPr>
          <w:rFonts w:ascii="Helvetica Neue" w:hAnsi="Helvetica Neue" w:eastAsia="Helvetica Neue" w:cs="Helvetica Neue"/>
        </w:rPr>
      </w:pPr>
      <w:r>
        <w:rPr>
          <w:rFonts w:eastAsia="Helvetica Neue" w:cs="Helvetica Neue" w:ascii="Helvetica Neue" w:hAnsi="Helvetica Neue"/>
        </w:rPr>
        <w:t>On December 22, 2021, nuclear fuel loading in Unit 2 commenced. Acceptance of Belarus NPP Unit 2 for operation is scheduled for autumn 2023.</w:t>
      </w:r>
    </w:p>
    <w:p>
      <w:pPr>
        <w:pStyle w:val="Normal1"/>
        <w:keepNext w:val="false"/>
        <w:keepLines w:val="false"/>
        <w:pageBreakBefore w:val="false"/>
        <w:widowControl/>
        <w:pBdr/>
        <w:shd w:val="clear" w:fill="auto"/>
        <w:spacing w:lineRule="auto" w:line="240" w:before="0" w:after="200"/>
        <w:ind w:left="0" w:right="0" w:hanging="0"/>
        <w:jc w:val="left"/>
        <w:rPr>
          <w:rFonts w:ascii="Helvetica Neue" w:hAnsi="Helvetica Neue" w:eastAsia="Helvetica Neue" w:cs="Helvetica Neue"/>
        </w:rPr>
      </w:pPr>
      <w:r>
        <w:rPr>
          <w:rFonts w:eastAsia="Helvetica Neue" w:cs="Helvetica Neue" w:ascii="Helvetica Neue" w:hAnsi="Helvetica Neue"/>
        </w:rPr>
        <w:t>Construction of Belarus NPP power units has become the largest energy-related project in the Union State and the basis of Russian-Belorussian interaction, covering the key areas and ensuring energy security of the states. The experience gained in cooperation of relevant agencies from Russia and Belarus allowed us to start developing new activities in various fields of the Republic’s economy, including nuclear medicine, additive and digital technologies, bringing them to a completely new level.</w:t>
      </w:r>
    </w:p>
    <w:p>
      <w:pPr>
        <w:pStyle w:val="Normal1"/>
        <w:keepNext w:val="false"/>
        <w:keepLines w:val="false"/>
        <w:pageBreakBefore w:val="false"/>
        <w:widowControl/>
        <w:pBdr/>
        <w:shd w:val="clear" w:fill="auto"/>
        <w:spacing w:lineRule="auto" w:line="240" w:before="0" w:after="200"/>
        <w:ind w:left="0" w:right="0" w:hanging="0"/>
        <w:jc w:val="left"/>
        <w:rPr>
          <w:rFonts w:ascii="Helvetica Neue" w:hAnsi="Helvetica Neue" w:eastAsia="Helvetica Neue" w:cs="Helvetica Neue"/>
        </w:rPr>
      </w:pPr>
      <w:r>
        <w:rPr>
          <w:rFonts w:eastAsia="Helvetica Neue" w:cs="Helvetica Neue" w:ascii="Helvetica Neue" w:hAnsi="Helvetica Neue"/>
        </w:rPr>
        <w:t>Belarus NPP, having two VVER-1200 reactors with the total capacity of 2400 MW, is being constructed in Ostrovets (the Republic of Belarus). The Russian Gen III+ design was chosen for the first nuclear power plant in Belarus, which fully complies with the international standards and the safety requirements of the International Atomic Energy Agency (IAEA). On June 10, 2021, the Belarus NPP Unit 1, the first nuclear facility of the latest III+ generation to be built abroad under Russian technologies, was taken over for commercial operation.</w:t>
      </w:r>
    </w:p>
    <w:p>
      <w:pPr>
        <w:pStyle w:val="Normal1"/>
        <w:keepNext w:val="false"/>
        <w:keepLines w:val="false"/>
        <w:pageBreakBefore w:val="false"/>
        <w:widowControl/>
        <w:pBdr/>
        <w:shd w:val="clear" w:fill="auto"/>
        <w:spacing w:lineRule="auto" w:line="240" w:before="0" w:after="200"/>
        <w:ind w:left="0" w:right="0" w:hanging="0"/>
        <w:jc w:val="left"/>
        <w:rPr>
          <w:rFonts w:ascii="Helvetica Neue" w:hAnsi="Helvetica Neue" w:eastAsia="Helvetica Neue" w:cs="Helvetica Neue"/>
        </w:rPr>
      </w:pPr>
      <w:r>
        <w:rPr>
          <w:rFonts w:eastAsia="Helvetica Neue" w:cs="Helvetica Neue" w:ascii="Helvetica Neue" w:hAnsi="Helvetica Neue"/>
        </w:rPr>
        <w:t>Rosatom State Corporation is recognized as a global leader and the only company in the world to implement the full-scale production of nuclear power plants abroad. In total, 106 nuclear power facilities of the Russian design have already been constructed worldwide, of which 80 are power units equipped with VVER reactors. Presently, Rosatom international order portfolio includes 34 units equipped with VVER reactors that are being delivered at various stages in 11 countries.</w:t>
      </w:r>
    </w:p>
    <w:p>
      <w:pPr>
        <w:pStyle w:val="Normal1"/>
        <w:keepNext w:val="false"/>
        <w:keepLines w:val="false"/>
        <w:pageBreakBefore w:val="false"/>
        <w:widowControl/>
        <w:pBdr/>
        <w:shd w:val="clear" w:fill="auto"/>
        <w:spacing w:lineRule="auto" w:line="240" w:before="0" w:after="200"/>
        <w:ind w:left="0" w:right="0" w:hanging="0"/>
        <w:jc w:val="left"/>
        <w:rPr>
          <w:rFonts w:ascii="Helvetica Neue" w:hAnsi="Helvetica Neue" w:eastAsia="Helvetica Neue" w:cs="Helvetica Neue"/>
        </w:rPr>
      </w:pPr>
      <w:r>
        <w:rPr>
          <w:rFonts w:eastAsia="Helvetica Neue" w:cs="Helvetica Neue" w:ascii="Helvetica Neue" w:hAnsi="Helvetica Neue"/>
        </w:rPr>
        <w:t>Russia is consistently developing international trade and economic relations, focusing on cooperation with friendly countries. Despite external restrictions, implementation of major international projects in the energy sector is being continued. Rosatom and its enterprises are taking an active part in this work.</w:t>
      </w:r>
    </w:p>
    <w:p>
      <w:pPr>
        <w:pStyle w:val="Normal1"/>
        <w:keepNext w:val="false"/>
        <w:keepLines w:val="false"/>
        <w:pageBreakBefore w:val="false"/>
        <w:widowControl/>
        <w:pBdr/>
        <w:shd w:val="clear" w:fill="auto"/>
        <w:spacing w:lineRule="auto" w:line="240" w:before="0" w:after="200"/>
        <w:ind w:left="0" w:right="0" w:hanging="0"/>
        <w:jc w:val="left"/>
        <w:rPr/>
      </w:pPr>
      <w:r>
        <w:rPr>
          <w:rFonts w:eastAsia="Helvetica Neue" w:cs="Helvetica Neue" w:ascii="Helvetica Neue" w:hAnsi="Helvetica Neue"/>
        </w:rPr>
        <w:t xml:space="preserve"> </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Times New Roman">
    <w:charset w:val="01"/>
    <w:family w:val="swiss"/>
    <w:pitch w:val="default"/>
  </w:font>
  <w:font w:name="Arial">
    <w:charset w:val="01"/>
    <w:family w:val="swiss"/>
    <w:pitch w:val="default"/>
  </w:font>
  <w:font w:name="Helvetica Neue">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ru-RU" w:eastAsia="zh-CN" w:bidi="hi-IN"/>
    </w:rPr>
  </w:style>
  <w:style w:type="paragraph" w:styleId="1">
    <w:name w:val="Heading 1"/>
    <w:basedOn w:val="Normal1"/>
    <w:next w:val="Normal1"/>
    <w:qFormat/>
    <w:pPr>
      <w:keepNext w:val="true"/>
      <w:keepLines/>
      <w:spacing w:lineRule="auto" w:line="276" w:before="400" w:after="120"/>
    </w:pPr>
    <w:rPr>
      <w:b/>
      <w:color w:val="2E75B5"/>
      <w:sz w:val="32"/>
      <w:szCs w:val="32"/>
    </w:rPr>
  </w:style>
  <w:style w:type="paragraph" w:styleId="2">
    <w:name w:val="Heading 2"/>
    <w:basedOn w:val="Normal1"/>
    <w:next w:val="Normal1"/>
    <w:qFormat/>
    <w:pPr>
      <w:keepNext w:val="true"/>
      <w:keepLines/>
      <w:spacing w:lineRule="auto" w:line="276" w:before="400" w:after="120"/>
    </w:pPr>
    <w:rPr>
      <w:color w:val="2E75B5"/>
      <w:sz w:val="32"/>
      <w:szCs w:val="32"/>
    </w:rPr>
  </w:style>
  <w:style w:type="paragraph" w:styleId="3">
    <w:name w:val="Heading 3"/>
    <w:basedOn w:val="Normal1"/>
    <w:next w:val="Normal1"/>
    <w:qFormat/>
    <w:pPr>
      <w:keepNext w:val="true"/>
      <w:spacing w:lineRule="auto" w:line="240" w:before="0" w:after="0"/>
      <w:jc w:val="center"/>
    </w:pPr>
    <w:rPr>
      <w:rFonts w:ascii="Times New Roman" w:hAnsi="Times New Roman" w:eastAsia="Times New Roman" w:cs="Times New Roman"/>
      <w:b/>
      <w:i/>
      <w:sz w:val="20"/>
      <w:szCs w:val="20"/>
    </w:rPr>
  </w:style>
  <w:style w:type="paragraph" w:styleId="4">
    <w:name w:val="Heading 4"/>
    <w:basedOn w:val="Normal1"/>
    <w:next w:val="Normal1"/>
    <w:qFormat/>
    <w:pPr>
      <w:keepNext w:val="true"/>
      <w:keepLines/>
      <w:spacing w:lineRule="auto" w:line="240" w:before="40" w:after="0"/>
    </w:pPr>
    <w:rPr>
      <w:rFonts w:ascii="Calibri" w:hAnsi="Calibri" w:eastAsia="Calibri" w:cs="Calibri"/>
      <w:i/>
      <w:color w:val="2E75B5"/>
    </w:rPr>
  </w:style>
  <w:style w:type="paragraph" w:styleId="5">
    <w:name w:val="Heading 5"/>
    <w:basedOn w:val="Normal1"/>
    <w:next w:val="Normal1"/>
    <w:qFormat/>
    <w:pPr>
      <w:keepNext w:val="true"/>
      <w:keepLines/>
      <w:spacing w:lineRule="auto" w:line="276" w:before="240" w:after="80"/>
    </w:pPr>
    <w:rPr>
      <w:rFonts w:ascii="Arial" w:hAnsi="Arial" w:eastAsia="Arial" w:cs="Arial"/>
      <w:color w:val="666666"/>
    </w:rPr>
  </w:style>
  <w:style w:type="paragraph" w:styleId="6">
    <w:name w:val="Heading 6"/>
    <w:basedOn w:val="Normal1"/>
    <w:next w:val="Normal1"/>
    <w:qFormat/>
    <w:pPr>
      <w:keepNext w:val="true"/>
      <w:keepLines/>
      <w:spacing w:lineRule="auto" w:line="276" w:before="240" w:after="80"/>
    </w:pPr>
    <w:rPr>
      <w:rFonts w:ascii="Arial" w:hAnsi="Arial" w:eastAsia="Arial" w:cs="Arial"/>
      <w:i/>
      <w:color w:val="666666"/>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ru-RU" w:eastAsia="zh-CN" w:bidi="hi-IN"/>
    </w:rPr>
  </w:style>
  <w:style w:type="paragraph" w:styleId="Style13">
    <w:name w:val="Title"/>
    <w:basedOn w:val="Normal1"/>
    <w:next w:val="Normal1"/>
    <w:qFormat/>
    <w:pPr>
      <w:keepNext w:val="true"/>
      <w:keepLines/>
      <w:spacing w:lineRule="auto" w:line="276" w:before="0" w:after="60"/>
    </w:pPr>
    <w:rPr>
      <w:rFonts w:ascii="Arial" w:hAnsi="Arial" w:eastAsia="Arial" w:cs="Arial"/>
      <w:sz w:val="52"/>
      <w:szCs w:val="52"/>
    </w:rPr>
  </w:style>
  <w:style w:type="paragraph" w:styleId="Style14">
    <w:name w:val="Subtitle"/>
    <w:basedOn w:val="Normal1"/>
    <w:next w:val="Normal1"/>
    <w:qFormat/>
    <w:pPr>
      <w:keepNext w:val="true"/>
      <w:keepLines/>
      <w:pBdr/>
      <w:spacing w:lineRule="auto" w:line="276" w:before="0" w:after="320"/>
    </w:pPr>
    <w:rPr>
      <w:rFonts w:ascii="Arial" w:hAnsi="Arial" w:eastAsia="Arial" w:cs="Arial"/>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LibreOffice/7.5.1.2$Windows_X86_64 LibreOffice_project/fcbaee479e84c6cd81291587d2ee68cba099e129</Application>
  <AppVersion>15.0000</AppVersion>
  <Pages>2</Pages>
  <Words>450</Words>
  <Characters>2543</Characters>
  <CharactersWithSpaces>2970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2023-11-03T18:00:52Z</dcterms:modified>
  <cp:revision>1</cp:revision>
  <dc:subject/>
  <dc:title/>
</cp:coreProperties>
</file>