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Опубликован отчет об экологической безопасности «Новосибирского завода химконцентратов» за 2023 год</w:t>
      </w:r>
    </w:p>
    <w:p w:rsidR="00000000" w:rsidDel="00000000" w:rsidP="00000000" w:rsidRDefault="00000000" w:rsidRPr="00000000" w14:paraId="00000009">
      <w:pPr>
        <w:jc w:val="center"/>
        <w:rPr>
          <w:i w:val="1"/>
        </w:rPr>
      </w:pPr>
      <w:r w:rsidDel="00000000" w:rsidR="00000000" w:rsidRPr="00000000">
        <w:rPr>
          <w:i w:val="1"/>
          <w:rtl w:val="0"/>
        </w:rPr>
        <w:t xml:space="preserve">Затраты предприятия на экологические мероприятия превысили 89 млн рублей</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Новосибирский завод химконцентратов (ПАО «НЗХК», предприятие Топливной компании Росатома «ТВЭЛ») в 16-й раз в порядке добровольного раскрытия опубликовал ежегодный отчет по экологической безопасности за год. Документ адресован широкому кругу заинтересованных сторон. В отчете представлена информация о мероприятиях предприятия по охране окружающей среды, обеспечению экологической безопасности производства и о воздействии на природные объекты.</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ПАО «НЗХК» направило почти 90 млн рублей на мероприятия по повышению экологической безопасности в 2023 году. В общий объем природоохранных затрат вошли инвестиции в основной капитал, направленные на охрану окружающей среды и рациональное использование природных ресурсов. В рамках экологического контроля и мониторинга окружающей среды проводится отбор проб атмосферного воздуха, растительности, грунта, снежного покрова и подземных вод. Анализ результатов контроля за последние пять лет показывает, что предприятие не оказывает значительного негативного воздействия на окружающую среду и свидетельствует о стабильной и благоприятной экологической обстановке, которая удовлетворяет всем требованиям безопасности для населения.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Влияние ПАО «НЗХК» на загрязненность атмосферы по сравнению с другими предприятиями Новосибирской области незначительно и составляет 0,09% от общего количества выбросов загрязняющих веществ в атмосферный воздух по региону. Выброс радиоактивных веществ в атмосферный воздух за 2023 год не превысил установленную разрешенную норму. Среднее значение мощности дозы гамма-излучения на промплощадке завода и территории жилой зоны в Новосибирске составляет 0,1 мкЗв/ч при нормативе для жилой зоны 0,3 мкЗв/ч. Это значительно ниже установленных нормативов и фоновых значений, характерных для Новосибирской области.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Для оперативного контроля химической и радиационной обстановки на территории предприятия действует комплексная система экстренного оповещения населения, созданная совместно с ГУ МЧС России по Новосибирской области. Система организована на 5 постах, расположенных в санитарно-защитной зоне ПАО «НЗХК». Осуществляется постоянный контроль мощности дозы гамма-излучения, концентраций диоксида азота и соляной кислоты в автоматическом режиме. Информация с постов контроля поступает в автоматическом режиме диспетчеру ГУ МЧС региона.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 настоящее время на Новосибирском заводе химконцентратов реализован комплекс переработки жидких отходов и твердых радиоактивных отходов, который позволяет полностью прекратить передачу очень низко активных отходов (ОНАО) на заводское хвостохранилище. В результате работы комплекса ОНАО приводятся к критериям приемлемости и в соответствии с требованиями федерального природоохранного законодательства передаются национальному оператору по обращению с радиоактивными отходами. Образующиеся очищенные производственные воды (дистиллят) повторно используются в технологическом процессе.</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«Новосибирский завод химконцентратов регулярно проводит экологический мониторинг на территории Калининского района города для определения степени негативного воздействия производственной деятельности предприятия на окружающую среду. Одной из главных целей ПАО «НЗХК» является обеспечение экологической безопасности и сокращение негативного воздействия производства на окружающую среду до минимально возможного уровня. Наша задача – строго выполнять все требования природоохранного законодательства и предоставлять объективную информацию о воздействии производства на окружающую среду, здоровье работников и населения. Мы анализируем пробы воздуха, грунта, воды, растительности, делаем замеры мощности дозы гамма-излучения как в санитарно-защитной зоне, так и на прилегающей территории. Большое внимание уделяем модернизации оборудования природоохранного назначения, работа которого направлена на снижение негативного воздействия на окружающую среду», – сообщил начальник отдела – заместитель главного инженера по ядерной, радиационной, промышленной безопасности и экологии Иван Пильчик.</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Кроме этого, Новосибирский завод химконцентратов участвует во всероссийских и городских экологических акциях. Среди них такие как социально значимая акция федерального масштаба «Всероссийский экологический субботник «Зеленая весна», городской экологический фестиваль «Экофест», добровольное финансирование работ по искусственному воспроизводству водных биоресурсов для  поддержания численности и увеличения популяции красно-книжной рыбы (нельмы) в водных объектах Обь-Иртышского района Западно-Сибирского рыбохозяйственного бассейна, участие в жюри научной игры Science Battle, участие в субботниках.</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По результатам успешной реализации экологических программ и природоохранных мероприятий предприятие заняло 1 место в ежегодном конкурсе «Экологически образцовая организация атомной отрасли» среди 51 организации госкорпорации «Росатом».</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Новосибирский завод химконцентратов (ПАО «НЗХК», г. Новосибирск) – один из ведущих мировых производителей ядерного топлива для АЭС и исследовательских реакторов России и зарубежных стран. Российский производитель металлического лития и его солей. Входит в состав Топливной компании «ТВЭЛ» госкорпорации «Росатом».</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Топливная компания Росатома «ТВЭЛ» (Топливный дивизион госкорпорации «Росатом»)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системам накопления электроэнергии и выводу из эксплуатации ЯРОО.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sz w:val="28"/>
          <w:szCs w:val="28"/>
        </w:rPr>
      </w:pPr>
      <w:r w:rsidDel="00000000" w:rsidR="00000000" w:rsidRPr="00000000">
        <w:rPr>
          <w:rtl w:val="0"/>
        </w:rPr>
        <w:t xml:space="preserve">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Снижение негативного влияния на природу, сохранение и восполнение биоресурсов – все это приоритетные задачи российской атомной отрасли в области охраны окружающей среды. Атомщики уделяют большое внимание модернизации оборудования, обеспечивающего выработку экологически чистой энергии, ежегодно направляется сотни миллионов рублей на мероприятия по охране окружающей среды. «Росатом» участвует в проектах по сохранению биоразнообразия на нашей планете, занимается лесовосстановлением, очисткой берегов рек, зарыблением водоемов. Инициативы в сфере экологии становятся важными направлениями волонтерской деятельности для сотрудников предприятий госкорпорации.</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db0kW37fjW7PsfYLdlF4RB1XRA==">CgMxLjA4AHIhMUVIV0dIOTJyZFN3bHpzZkwtZGF2ZURsWXAtekxBVG9l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