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080" w:leader="none"/>
        </w:tabs>
        <w:spacing w:lineRule="auto" w:line="240" w:before="0" w:after="0"/>
        <w:ind w:left="4820" w:right="-22" w:hanging="0"/>
        <w:rPr>
          <w:rFonts w:ascii="Helvetica Neue" w:hAnsi="Helvetica Neue" w:eastAsia="Helvetica Neue" w:cs="Helvetica Neue"/>
          <w:sz w:val="22"/>
          <w:szCs w:val="22"/>
        </w:rPr>
      </w:pPr>
      <w:r>
        <w:rPr>
          <w:rFonts w:eastAsia="Helvetica Neue" w:cs="Helvetica Neue" w:ascii="Helvetica Neue" w:hAnsi="Helvetica Neue"/>
          <w:sz w:val="22"/>
          <w:szCs w:val="22"/>
        </w:rPr>
      </w:r>
    </w:p>
    <w:p>
      <w:pPr>
        <w:sectPr>
          <w:headerReference w:type="default" r:id="rId2"/>
          <w:type w:val="nextPage"/>
          <w:pgSz w:w="11906" w:h="16838"/>
          <w:pgMar w:left="1440" w:right="707" w:gutter="0" w:header="0" w:top="142" w:footer="0" w:bottom="398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b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900 миллионов рублей на охрану окружающей среды — Ленинградская АЭС представила общественности данные по экологической безопасности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 итогам 2022 года доля воздействия предприятия на окружающую среду региона составила 0,12 % в общем объеме. Такие данные были представлены в ходе ежегодной публичной презентации экологического отчета Ленинградской АЭС. Помимо сведений о воздействии на окружающую среду, эксперты представили данные по обращению с радиоактивными отходами, системе контроля радиационной обстановки и природоохранной деятельности предприятия.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Половина средств из общего объема финансирования на охрану окружающей среды в 2022 году является инвестицией в основной капитал на поддержание работоспособности необходимого оборудования, на охрану и рациональное использование водных ресурсов Ленинградской АЭС, земель, лесных ресурсов. Другая часть — эксплуатационные затраты на охрану окружающей среды, которые направлены на сбор и очистку сточных вод, обращение с отходами производства, обеспечение радиационной безопасности, 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охрану атмосферного воздуха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и другие цели.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«Уровень влияния на атмосферу и динамику снижения выбросов вредных химических веществ минимальный. Заборы воды и вовсе оказывают на экологию скорее положительное влияние 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—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зачастую сбрасываемая вода гораздо чище, чем исходная. Что касается системы обращения с отходами, то работа в этом направлении ведется в соответствии с установленными требованиями 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—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отходы первого и второго классов утилизируются и перерабатываются, третьего и четвертого 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—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хранятся специальным образом», 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—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прокомментировала начальник отдела охраны окружающей среды Ленинградской АЭС </w:t>
      </w: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Александра Ткачева.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Мониторинг окружающей среды вокруг Ленинградской АЭС, который осуществляется при помощи системы дистанционного дозиметрического мониторинга АСКРО, показывает, что в 2022 году, как и в предыдущие годы, уровень радиации в Сосновом Бору был ниже, чем в среднем по Ленинградской области и Санкт-Петербургу, и соответствовал естественным природным значениям.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 этом году впервые презентацию экологического отч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е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та продолжила акция в пользу разумного потребления. Совместно с активистами организации «Круг жизни» Ленинградская АЭС организовала благотворительный сбор книг. Более 200 изданий художественной и классической литературы, книг для детей и подростков, учебных пособий, которые принесли жители города Сосновый Бор, будут переданы в сельские библиотеки Ленинградской области.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Владимир Перегуда,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директор Ленинградской АЭС: «Обеспечение экологической безопасности для нашей станции является одним из наивысших приоритетов. В своей работе мы руководствуемся экологической политикой, разработанной на основе Единой отраслевой Экологической политики Госкорпорации «Росатом». Традиционными для нас оста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ю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тся проведение экологических акций и мероприятий — субботников, в том числе, на воде, зарыбление водоемов в Ленинградской области, сотрудничество с Фондом друзей Балтийской нерпы, проведение массовых экофестивалей</w:t>
      </w:r>
      <w:r>
        <w:rPr>
          <w:rFonts w:eastAsia="Helvetica Neue" w:cs="Helvetica Neue" w:ascii="Helvetica Neue" w:hAnsi="Helvetica Neue"/>
          <w:color w:val="000000"/>
          <w:sz w:val="22"/>
          <w:szCs w:val="22"/>
        </w:rPr>
        <w:t>»</w:t>
      </w: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18" w:before="57" w:after="57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13"/>
        <w:ind w:left="0" w:right="0" w:hanging="0"/>
        <w:jc w:val="both"/>
        <w:rPr>
          <w:rFonts w:ascii="Helvetica Neue" w:hAnsi="Helvetica Neue" w:eastAsia="Helvetica Neue" w:cs="Helvetica Neue"/>
          <w:i w:val="false"/>
          <w:i w:val="false"/>
          <w:caps w:val="false"/>
          <w:smallCaps w:val="false"/>
          <w:strike w:val="false"/>
          <w:dstrike w:val="false"/>
          <w:color w:val="343433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Helvetica Neue" w:cs="Helvetica Neue" w:ascii="Helvetica Neue" w:hAnsi="Helvetica Neu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Экологические требования становятся важным условием при выстраивании новых проектов в промышленности и при создании инфраструктуры. В России значительное внимание уделяется разработке и внедрению новых технологий, направленных на защиту окружающей среды. Инициативы в сфере экологии становятся важными направлениями волонтерской и наставнической деятельности. По инициативе Президента России с 2019 года вед</w:t>
      </w:r>
      <w:r>
        <w:rPr>
          <w:rFonts w:eastAsia="Helvetica Neue" w:cs="Helvetica Neue" w:ascii="Helvetica Neue" w:hAnsi="Helvetica Neue"/>
          <w:i/>
          <w:color w:val="000000"/>
          <w:sz w:val="22"/>
          <w:szCs w:val="22"/>
        </w:rPr>
        <w:t>е</w:t>
      </w:r>
      <w:r>
        <w:rPr>
          <w:rFonts w:eastAsia="Helvetica Neue" w:cs="Helvetica Neue" w:ascii="Helvetica Neue" w:hAnsi="Helvetica Neu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биологического разнообразия.</w:t>
      </w:r>
    </w:p>
    <w:p>
      <w:pPr>
        <w:pStyle w:val="Normal1"/>
        <w:spacing w:lineRule="auto" w:line="240" w:before="57" w:after="57"/>
        <w:ind w:left="0" w:right="0" w:hanging="0"/>
        <w:jc w:val="both"/>
        <w:rPr>
          <w:rFonts w:ascii="Helvetica Neue" w:hAnsi="Helvetica Neue" w:eastAsia="Helvetica Neue" w:cs="Helvetica Neue"/>
          <w:sz w:val="22"/>
          <w:szCs w:val="22"/>
        </w:rPr>
      </w:pPr>
      <w:sdt>
        <w:sdtPr>
          <w:tag w:val="goog_rdk_0"/>
        </w:sdtPr>
        <w:sdtContent>
          <w:r>
            <w:rPr>
              <w:rFonts w:eastAsia="Arial" w:cs="Arial" w:ascii="Arial" w:hAnsi="Arial"/>
              <w:i/>
              <w:color w:val="000000"/>
              <w:sz w:val="22"/>
              <w:szCs w:val="22"/>
            </w:rPr>
          </w:r>
          <w:r>
            <w:rPr>
              <w:rFonts w:eastAsia="Arial" w:cs="Arial" w:ascii="Arial" w:hAnsi="Arial"/>
              <w:i/>
              <w:color w:val="000000"/>
              <w:sz w:val="22"/>
              <w:szCs w:val="22"/>
            </w:rPr>
            <w:t>Ленинградская АЭС является одной из крупнейших атомных станций в России по установленной мощности 4400 МВт. Здесь эксплуатируется 4 блока РБМК-1000 и 2 блока ВВЭР-1200. Энергоблоки №№ 1 и 2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Кроме них, два новых энергоблока №№7 и 8 ВВЭР-1200 Ленинградской АЭС планируется ввести в эксплуатацию в 2030 и 2032 годах соответственно. Они станут замещающими мощностями энергоблоков №№3 и 4 РБМК-1000. Ежегодная выработка каждого энергоблока ВВЭР-1200 составит более 8,5 млрд кВтч электроэнергии.</w:t>
          </w:r>
        </w:sdtContent>
      </w:sdt>
    </w:p>
    <w:sectPr>
      <w:type w:val="continuous"/>
      <w:pgSz w:w="11906" w:h="16838"/>
      <w:pgMar w:left="1440" w:right="707" w:gutter="0" w:header="0" w:top="142" w:footer="0" w:bottom="398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Helvetica Neue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22"/>
      <w:lang w:val="ru-RU" w:eastAsia="ru-RU" w:bidi="ar-SA"/>
    </w:rPr>
  </w:style>
  <w:style w:type="paragraph" w:styleId="1">
    <w:name w:val="Heading 1"/>
    <w:basedOn w:val="Normal1"/>
    <w:next w:val="Normal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1"/>
    <w:next w:val="Normal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1"/>
    <w:next w:val="Normal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1"/>
    <w:next w:val="Normal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1"/>
    <w:next w:val="Normal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1"/>
    <w:next w:val="Normal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">
    <w:name w:val="Heading 7"/>
    <w:basedOn w:val="Normal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">
    <w:name w:val="Heading 8"/>
    <w:basedOn w:val="Normal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9">
    <w:name w:val="Heading 9"/>
    <w:basedOn w:val="Normal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Rosatom" w:hAnsi="Rosatom" w:eastAsia="Rosatom" w:cs="Rosatom"/>
      <w:color w:val="343433"/>
      <w:sz w:val="18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Rosatom" w:hAnsi="Rosatom" w:eastAsia="Rosatom" w:cs="Rosatom"/>
      <w:color w:val="343433"/>
      <w:sz w:val="18"/>
    </w:rPr>
  </w:style>
  <w:style w:type="character" w:styleId="W" w:customStyle="1">
    <w:name w:val="w"/>
    <w:basedOn w:val="DefaultParagraphFont"/>
    <w:qFormat/>
    <w:rPr/>
  </w:style>
  <w:style w:type="character" w:styleId="Normaltextrun" w:customStyle="1">
    <w:name w:val="normaltextrun"/>
    <w:basedOn w:val="DefaultParagraphFont"/>
    <w:qFormat/>
    <w:rPr/>
  </w:style>
  <w:style w:type="character" w:styleId="Highlight" w:customStyle="1">
    <w:name w:val="highlight"/>
    <w:basedOn w:val="DefaultParagraphFont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1" w:customStyle="1">
    <w:name w:val="Текст примечания Знак"/>
    <w:basedOn w:val="DefaultParagraphFont"/>
    <w:uiPriority w:val="99"/>
    <w:semiHidden/>
    <w:qFormat/>
    <w:rPr>
      <w:rFonts w:ascii="Rosatom" w:hAnsi="Rosatom" w:eastAsia="Rosatom" w:cs="Rosatom"/>
      <w:color w:val="343433"/>
      <w:sz w:val="20"/>
      <w:szCs w:val="20"/>
    </w:rPr>
  </w:style>
  <w:style w:type="character" w:styleId="Style12" w:customStyle="1">
    <w:name w:val="Тема примечания Знак"/>
    <w:basedOn w:val="Style11"/>
    <w:uiPriority w:val="99"/>
    <w:semiHidden/>
    <w:qFormat/>
    <w:rPr>
      <w:rFonts w:ascii="Rosatom" w:hAnsi="Rosatom" w:eastAsia="Rosatom" w:cs="Rosatom"/>
      <w:b/>
      <w:bCs/>
      <w:color w:val="343433"/>
      <w:sz w:val="20"/>
      <w:szCs w:val="20"/>
    </w:rPr>
  </w:style>
  <w:style w:type="character" w:styleId="Style13" w:customStyle="1">
    <w:name w:val="Текст выноски Знак"/>
    <w:basedOn w:val="DefaultParagraphFont"/>
    <w:uiPriority w:val="99"/>
    <w:semiHidden/>
    <w:qFormat/>
    <w:rPr>
      <w:rFonts w:ascii="Tahoma" w:hAnsi="Tahoma" w:eastAsia="Rosatom" w:cs="Tahoma"/>
      <w:color w:val="343433"/>
      <w:sz w:val="16"/>
      <w:szCs w:val="16"/>
    </w:rPr>
  </w:style>
  <w:style w:type="character" w:styleId="Style14">
    <w:name w:val="Emphasis"/>
    <w:basedOn w:val="DefaultParagraphFont"/>
    <w:qFormat/>
    <w:rPr>
      <w:i/>
      <w:iCs/>
    </w:rPr>
  </w:style>
  <w:style w:type="character" w:styleId="Style15" w:customStyle="1">
    <w:name w:val="Символ нумерации"/>
    <w:qFormat/>
    <w:rPr/>
  </w:style>
  <w:style w:type="character" w:styleId="Style16">
    <w:name w:val="Line Number"/>
    <w:rPr/>
  </w:style>
  <w:style w:type="paragraph" w:styleId="Style17" w:customStyle="1">
    <w:name w:val="Заголовок"/>
    <w:basedOn w:val="Normal1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8">
    <w:name w:val="Body Text"/>
    <w:basedOn w:val="Normal1"/>
    <w:pPr>
      <w:spacing w:lineRule="auto" w:line="276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1"/>
    <w:qFormat/>
    <w:pPr>
      <w:suppressLineNumbers/>
    </w:pPr>
    <w:rPr>
      <w:rFonts w:cs="Noto Sans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22">
    <w:name w:val="Title"/>
    <w:basedOn w:val="Normal1"/>
    <w:next w:val="Normal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1"/>
    <w:uiPriority w:val="35"/>
    <w:semiHidden/>
    <w:unhideWhenUsed/>
    <w:qFormat/>
    <w:pPr>
      <w:spacing w:lineRule="auto" w:line="276"/>
    </w:pPr>
    <w:rPr>
      <w:b/>
      <w:bCs/>
      <w:color w:val="5B9BD5" w:themeColor="accent1"/>
      <w:szCs w:val="18"/>
    </w:rPr>
  </w:style>
  <w:style w:type="paragraph" w:styleId="Indexheading">
    <w:name w:val="index heading"/>
    <w:basedOn w:val="Normal1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1"/>
    <w:uiPriority w:val="34"/>
    <w:qFormat/>
    <w:pPr>
      <w:spacing w:before="0" w:after="160"/>
      <w:ind w:left="720" w:right="1501" w:hanging="0"/>
      <w:contextualSpacing/>
    </w:pPr>
    <w:rPr/>
  </w:style>
  <w:style w:type="paragraph" w:styleId="Style23">
    <w:name w:val="Subtitle"/>
    <w:basedOn w:val="Normal1"/>
    <w:next w:val="Normal1"/>
    <w:uiPriority w:val="11"/>
    <w:qFormat/>
    <w:pPr>
      <w:spacing w:lineRule="auto" w:line="240" w:before="200" w:after="200"/>
    </w:pPr>
    <w:rPr>
      <w:sz w:val="24"/>
      <w:szCs w:val="24"/>
    </w:rPr>
  </w:style>
  <w:style w:type="paragraph" w:styleId="Quote">
    <w:name w:val="Quote"/>
    <w:basedOn w:val="Normal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160"/>
      <w:ind w:left="720" w:right="720" w:hanging="0"/>
    </w:pPr>
    <w:rPr>
      <w:i/>
    </w:rPr>
  </w:style>
  <w:style w:type="paragraph" w:styleId="Style24">
    <w:name w:val="Footnote Text"/>
    <w:basedOn w:val="Normal1"/>
    <w:uiPriority w:val="99"/>
    <w:semiHidden/>
    <w:unhideWhenUsed/>
    <w:pPr>
      <w:spacing w:lineRule="auto" w:line="240" w:before="0" w:after="40"/>
    </w:pPr>
    <w:rPr/>
  </w:style>
  <w:style w:type="paragraph" w:styleId="Style25">
    <w:name w:val="Endnote Text"/>
    <w:basedOn w:val="Normal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1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1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1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1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1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1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1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1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1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7"/>
    <w:pPr/>
    <w:rPr/>
  </w:style>
  <w:style w:type="paragraph" w:styleId="Style27">
    <w:name w:val="TOC Heading"/>
    <w:uiPriority w:val="39"/>
    <w:unhideWhenUsed/>
    <w:qFormat/>
    <w:pPr>
      <w:widowControl/>
      <w:suppressAutoHyphens w:val="true"/>
      <w:bidi w:val="0"/>
      <w:spacing w:lineRule="auto" w:line="259" w:before="0" w:after="160"/>
      <w:ind w:left="3643" w:right="1501" w:hanging="1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2" w:customStyle="1">
    <w:name w:val="Обычный1"/>
    <w:qFormat/>
    <w:pPr>
      <w:widowControl/>
      <w:suppressAutoHyphens w:val="true"/>
      <w:bidi w:val="0"/>
      <w:spacing w:lineRule="auto" w:line="276" w:before="0" w:after="0"/>
      <w:ind w:left="3643" w:right="1501" w:hanging="1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Style28" w:customStyle="1">
    <w:name w:val="Верхний и нижний колонтитулы"/>
    <w:basedOn w:val="Normal1"/>
    <w:qFormat/>
    <w:pPr/>
    <w:rPr/>
  </w:style>
  <w:style w:type="paragraph" w:styleId="Style29">
    <w:name w:val="Колонтитул"/>
    <w:basedOn w:val="Normal1"/>
    <w:qFormat/>
    <w:pPr/>
    <w:rPr/>
  </w:style>
  <w:style w:type="paragraph" w:styleId="Style30">
    <w:name w:val="Header"/>
    <w:basedOn w:val="Normal1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1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1"/>
    <w:uiPriority w:val="99"/>
    <w:unhideWhenUsed/>
    <w:qFormat/>
    <w:pPr>
      <w:spacing w:lineRule="auto" w:line="240" w:beforeAutospacing="1" w:afterAutospacing="1"/>
      <w:ind w:left="0" w:right="0" w:hanging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Annotationtext">
    <w:name w:val="annotation text"/>
    <w:basedOn w:val="Normal1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1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18" w:before="0" w:after="0"/>
      <w:ind w:left="3643" w:right="1501" w:hanging="1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Style32" w:customStyle="1">
    <w:name w:val="Содержимое таблицы"/>
    <w:basedOn w:val="Normal1"/>
    <w:qFormat/>
    <w:pPr>
      <w:widowControl w:val="false"/>
      <w:suppressLineNumbers/>
    </w:pPr>
    <w:rPr/>
  </w:style>
  <w:style w:type="paragraph" w:styleId="Style33">
    <w:name w:val="Блочная цитата"/>
    <w:basedOn w:val="Normal1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styleId="2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val="en-GB" w:eastAsia="en-GB"/>
      <w:color w:val="404040"/>
      <w:sz w:val="20"/>
      <w:szCs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dOLSgrj77NS2JSpuzxm/D2r6P6Q==">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547</Words>
  <Characters>3818</Characters>
  <CharactersWithSpaces>4367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2023-07-12T09:20:00Z</dcterms:created>
  <dc:creator>Титова Анастасия Михайловна</dc:creator>
  <dc:description/>
  <dc:language>ru-RU</dc:language>
  <cp:lastModifiedBy/>
  <cp:revision>0</cp:revision>
  <dc:subject/>
  <dc:title/>
</cp:coreProperties>
</file>