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26.01.24</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Президент России принял участие в закладке универсального атомного ледокола «Ленинград»</w:t>
      </w:r>
    </w:p>
    <w:p>
      <w:pPr>
        <w:pStyle w:val="Normal"/>
        <w:spacing w:lineRule="auto" w:line="276"/>
        <w:jc w:val="center"/>
        <w:rPr/>
      </w:pPr>
      <w:r>
        <w:rPr>
          <w:i/>
        </w:rPr>
        <w:t>Глава Росатома Алексей Лихачев поблагодарил президента за поддержку инициативы ветеранов присвоить имя города-героя судну, которое призвано сыграть важную роль в развитии перевозок по Северному морскому пути</w:t>
      </w:r>
    </w:p>
    <w:p>
      <w:pPr>
        <w:pStyle w:val="Normal"/>
        <w:spacing w:lineRule="auto" w:line="276"/>
        <w:rPr/>
      </w:pPr>
      <w:r>
        <w:rPr/>
      </w:r>
    </w:p>
    <w:p>
      <w:pPr>
        <w:pStyle w:val="Normal"/>
        <w:spacing w:lineRule="auto" w:line="276"/>
        <w:rPr/>
      </w:pPr>
      <w:r>
        <w:rPr/>
        <w:t>26 января в Санкт-Петербурге президент Российской Федерации Владимир Путин принял участие в закладке пятого серийного универсального атомного ледокола «Ленинград» проекта 22220. Торжественная церемония состоялась на стапеле АО «Балтийский завод» накануне 80-летия полного освобождения города-героя Ленинграда от фашистской блокады.</w:t>
      </w:r>
    </w:p>
    <w:p>
      <w:pPr>
        <w:pStyle w:val="Normal"/>
        <w:spacing w:lineRule="auto" w:line="276"/>
        <w:rPr/>
      </w:pPr>
      <w:r>
        <w:rPr/>
        <w:t> </w:t>
      </w:r>
    </w:p>
    <w:p>
      <w:pPr>
        <w:pStyle w:val="Normal"/>
        <w:spacing w:lineRule="auto" w:line="276"/>
        <w:rPr/>
      </w:pPr>
      <w:r>
        <w:rPr/>
        <w:t>В торжественной церемонии приняли участие председатель Совета Федерации Федерального Собрания Российской Федерации Валентина Матвиенко, полномочный представитель Президента РФ в Северо-Западном федеральном округе Александр Гуцан, губернатор Санкт-Петербурга Александр Беглов, генеральный директор Госкорпорации «Росатом» Алексей Лихачев, председатель совета директоров АО «ОСК» Андрей Костин и другие.</w:t>
      </w:r>
    </w:p>
    <w:p>
      <w:pPr>
        <w:pStyle w:val="Normal"/>
        <w:spacing w:lineRule="auto" w:line="276"/>
        <w:rPr/>
      </w:pPr>
      <w:r>
        <w:rPr/>
        <w:t> </w:t>
      </w:r>
    </w:p>
    <w:p>
      <w:pPr>
        <w:pStyle w:val="Normal"/>
        <w:spacing w:lineRule="auto" w:line="276"/>
        <w:rPr/>
      </w:pPr>
      <w:r>
        <w:rPr/>
        <w:t xml:space="preserve">Торжественную церемонию открыл Владимир Путин: </w:t>
      </w:r>
      <w:r>
        <w:rPr>
          <w:color w:val="18252D"/>
        </w:rPr>
        <w:t>«У России сегодня уникальный, я хочу это подчеркнуть, уникальный, самый большой ледокольный флот в мире. И это наше огромное конкурентное преимущество, колоссальные возможности для развития логистики, промышленности, создания новых рабочих мест, для комплексного обустройства арктических городов и поселков, реализации проектов действительно глобального уровня, для международного сотрудничества с нашими партнерами, друзьями, со всеми, кто хочет и готов работать с Россией».</w:t>
      </w:r>
      <w:r>
        <w:rPr/>
        <w:t> </w:t>
      </w:r>
    </w:p>
    <w:p>
      <w:pPr>
        <w:pStyle w:val="Normal"/>
        <w:spacing w:lineRule="auto" w:line="276"/>
        <w:rPr/>
      </w:pPr>
      <w:r>
        <w:rPr/>
        <w:t> </w:t>
      </w:r>
    </w:p>
    <w:p>
      <w:pPr>
        <w:pStyle w:val="Normal"/>
        <w:spacing w:lineRule="auto" w:line="276"/>
        <w:rPr/>
      </w:pPr>
      <w:r>
        <w:rPr/>
        <w:t>Глава Росатома поблагодарил президента России и председателя Совета Федерации за поддержку инициативы ветеранов-блокадников присвоить новому атомному ледоколу имя «Ленинград». «Для нас честь выполнить это поручение. Мы рассматриваем его как знак нашего общего глубокого уважения к подвигу города и его жителей. Атомные ледоколы традиционно носят имена регионов нашей страны. Присваивая новому ледоколу имя города-героя Ленинграда, мы развиваем эту традицию», — отметил Алексей Лихачев. </w:t>
      </w:r>
    </w:p>
    <w:p>
      <w:pPr>
        <w:pStyle w:val="Normal"/>
        <w:spacing w:lineRule="auto" w:line="276"/>
        <w:rPr/>
      </w:pPr>
      <w:r>
        <w:rPr/>
        <w:t> </w:t>
      </w:r>
    </w:p>
    <w:p>
      <w:pPr>
        <w:pStyle w:val="Normal"/>
        <w:spacing w:lineRule="auto" w:line="276"/>
        <w:rPr/>
      </w:pPr>
      <w:r>
        <w:rPr/>
        <w:t>По его словам, дальнейшее развитие Северного морского пути (СМП) неотъемлемо связано с расширением арктического судостроения. Так, на площадке Балтийского завода сейчас строятся еще два атомных ледокола — «Чукотка» и «Якутия», а на Дальнем Востоке продолжается строительство сверхмощного ледокола нового поколения «Россия». «В ближайшее время потребуется большое количество грузовых судов высокого ледового класса. Арктическое судостроение становится стратегически важным направлением в России. Росатом здесь выступает не только заказчиком, но и участником этой работы», — сказал генеральный директор Госкорпорации «Росатом» и выразил уверенность, что ледокол «Ленинград» внесет свой вклад в развитие этого направления.</w:t>
      </w:r>
    </w:p>
    <w:p>
      <w:pPr>
        <w:pStyle w:val="Normal"/>
        <w:spacing w:lineRule="auto" w:line="276"/>
        <w:rPr/>
      </w:pPr>
      <w:r>
        <w:rPr/>
        <w:t>   </w:t>
      </w:r>
    </w:p>
    <w:p>
      <w:pPr>
        <w:pStyle w:val="Normal"/>
        <w:spacing w:lineRule="auto" w:line="276"/>
        <w:rPr/>
      </w:pPr>
      <w:r>
        <w:rPr/>
        <w:t>Почетное право установить закладную доску на первую секцию пятого серийного атомного ледокола «Ленинград» было предоставлено председателю Совета Федерации Федерального собрания Российской Федерации Валентине Матвиенко, губернатору Санкт-Петербурга Александру Беглову, генеральному директору Госкорпорации «Росатом» Алексею Лихачеву и председателю Совета директоров АО «ОСК» Андрею Костину.</w:t>
      </w:r>
    </w:p>
    <w:p>
      <w:pPr>
        <w:pStyle w:val="Normal"/>
        <w:spacing w:lineRule="auto" w:line="276"/>
        <w:rPr/>
      </w:pPr>
      <w:r>
        <w:rPr/>
        <w:t> </w:t>
      </w:r>
    </w:p>
    <w:p>
      <w:pPr>
        <w:pStyle w:val="Normal"/>
        <w:spacing w:lineRule="auto" w:line="276"/>
        <w:rPr/>
      </w:pPr>
      <w:r>
        <w:rPr/>
        <w:t>«Коллектив Балтийского судостроительного завода хорошо понимает ту ответственность, которую на нас возлагает выполнение этого важнейшего государственного заказа. Безусловно, его реализация будет способствовать достижению тех целей, которые у России есть в Арктике. Хочу вас заверить, что строительство будет закончено точно в установленные сроки и с высоким качеством», — сказал Андрей Костин.</w:t>
      </w:r>
    </w:p>
    <w:p>
      <w:pPr>
        <w:pStyle w:val="Normal"/>
        <w:spacing w:lineRule="auto" w:line="276"/>
        <w:rPr>
          <w:b/>
        </w:rPr>
      </w:pPr>
      <w:r>
        <w:rPr>
          <w:b/>
        </w:rPr>
      </w:r>
    </w:p>
    <w:p>
      <w:pPr>
        <w:pStyle w:val="Normal"/>
        <w:spacing w:lineRule="auto" w:line="276"/>
        <w:rPr>
          <w:b/>
        </w:rPr>
      </w:pPr>
      <w:r>
        <w:rPr>
          <w:b/>
        </w:rPr>
        <w:t>Справка:</w:t>
      </w:r>
    </w:p>
    <w:p>
      <w:pPr>
        <w:pStyle w:val="Normal"/>
        <w:spacing w:lineRule="auto" w:line="276"/>
        <w:rPr/>
      </w:pPr>
      <w:r>
        <w:rPr/>
        <w:t> </w:t>
      </w:r>
    </w:p>
    <w:p>
      <w:pPr>
        <w:pStyle w:val="Normal"/>
        <w:spacing w:lineRule="auto" w:line="276"/>
        <w:rPr/>
      </w:pPr>
      <w:r>
        <w:rPr/>
        <w:t>Для обеспечения растущего грузопотока по СМП Госкорпорация «Росатом» реализует программу обновления атомного ледокольного флота. В настоящее время ведется строительство 3-го серийного универсального атомного ледокола (УАЛ) «Якутия» (плановый ввод в эксплуатацию — декабрь 2024 года), 4-го серийного УАЛ «Чукотка» (декабрь 2026 г.), а также головного атомного ледокола «Россия» проекта 10510 (2027 г.).</w:t>
      </w:r>
    </w:p>
    <w:p>
      <w:pPr>
        <w:pStyle w:val="Normal"/>
        <w:spacing w:lineRule="auto" w:line="276"/>
        <w:rPr/>
      </w:pPr>
      <w:r>
        <w:rPr/>
        <w:t> </w:t>
      </w:r>
    </w:p>
    <w:p>
      <w:pPr>
        <w:pStyle w:val="Normal"/>
        <w:spacing w:lineRule="auto" w:line="276"/>
        <w:rPr/>
      </w:pPr>
      <w:r>
        <w:rPr/>
        <w:t>В ближайшие годы универсальным атомным ледоколам предстоит обеспечить безопасную ледокольную проводку судов совместного предприятия Госкорпорации «Росатом» и компании DP World. Планируется, что объем ежегодных перевозок по Северному морскому пути составит до 800 тыс. TEU. Для решения этой задачи «Росатом» построит серию контейнеровозов арктического класса. Уже завершено исследование их параметров, в настоящее время идет контрактация проектирования будущих судов.</w:t>
      </w:r>
    </w:p>
    <w:p>
      <w:pPr>
        <w:pStyle w:val="Normal"/>
        <w:spacing w:lineRule="auto" w:line="276"/>
        <w:rPr/>
      </w:pPr>
      <w:r>
        <w:rPr/>
        <w:t> </w:t>
      </w:r>
    </w:p>
    <w:p>
      <w:pPr>
        <w:pStyle w:val="Normal"/>
        <w:spacing w:lineRule="auto" w:line="276"/>
        <w:rPr/>
      </w:pPr>
      <w:r>
        <w:rPr/>
        <w:t>В 2023 году транзитные перевозки по СМП поставили исторический рекорд — 2,1 млн тонн. Предполагается, что реализация обозначенных выше планов по строительству контейнеровозов и росту перевозок в рамках совместного предприятия позволит увеличить этот показатель примерно в пять-шесть раз.</w:t>
      </w:r>
    </w:p>
    <w:p>
      <w:pPr>
        <w:pStyle w:val="Normal"/>
        <w:spacing w:lineRule="auto" w:line="276"/>
        <w:rPr/>
      </w:pPr>
      <w:r>
        <w:rPr/>
        <w:t> </w:t>
      </w:r>
    </w:p>
    <w:p>
      <w:pPr>
        <w:pStyle w:val="Normal"/>
        <w:spacing w:lineRule="auto" w:line="276"/>
        <w:rPr/>
      </w:pPr>
      <w:r>
        <w:rPr/>
        <w:t>Атомный ледокольный флот является уникальным конкурентным преимуществом России в Арктике. В атомоходах проекта 22220 воплощен успешный опыт судостроителей и моряков. Эффективная эксплуатация данных судов станет определяющим фактором устойчивого развития судоходства в акватории Северного морского пути.</w:t>
      </w:r>
    </w:p>
    <w:p>
      <w:pPr>
        <w:pStyle w:val="Normal"/>
        <w:spacing w:lineRule="auto" w:line="276"/>
        <w:rPr/>
      </w:pPr>
      <w:r>
        <w:rPr/>
        <w:t> </w:t>
      </w:r>
    </w:p>
    <w:p>
      <w:pPr>
        <w:pStyle w:val="Normal"/>
        <w:spacing w:lineRule="auto" w:line="276"/>
        <w:rPr/>
      </w:pPr>
      <w:r>
        <w:rPr/>
        <w:t>В настоящее время в эксплуатации находятся головной универсальный атомный ледокол «Арктика» (введен в эксплуатацию в 2020-м), первый серийный универсальный атомный ледокол «Сибирь» (введен в эксплуатацию в 2021-м), второй серийный универсальный атомный ледокол «Урал» (введен в эксплуатацию в 2022-м) проекта 22220. Данные атомные ледоколы более чем на 90% построены из российских комплектующих. Двухосадочная конструкция универсального атомного ледокола позволяет использовать его как в арктических водах, так и в устьях полярных рек, в частности на мелководных участках Енисея (Дудинское направление) и Обской губы.      </w:t>
      </w:r>
    </w:p>
    <w:p>
      <w:pPr>
        <w:pStyle w:val="Normal"/>
        <w:spacing w:lineRule="auto" w:line="276"/>
        <w:rPr/>
      </w:pPr>
      <w:r>
        <w:rPr/>
        <w:t> </w:t>
      </w:r>
    </w:p>
    <w:p>
      <w:pPr>
        <w:pStyle w:val="Normal"/>
        <w:spacing w:lineRule="auto" w:line="276"/>
        <w:rPr/>
      </w:pPr>
      <w:r>
        <w:rPr/>
        <w:t>При строительстве ледоколов используются инновационные решения, которые до этого не применялись на судах с ядерными энергетическими установками. Атомный ледокол оснащен реакторной установкой нового поколения РИТМ-200. Она была спроектирована конструкторским бюро атомной отрасли «ОКБМ Африкантов». Этот полностью отечественный продукт не имеет зарубежных аналогов и отвечает современным тенденциям развития мировой атомной энергетики. Коллектив ПАО «ЗИО-Подольск» обеспечил производство и поставку основного оборудования установки РИТМ-200.</w:t>
      </w:r>
    </w:p>
    <w:p>
      <w:pPr>
        <w:pStyle w:val="Normal"/>
        <w:spacing w:lineRule="auto" w:line="276"/>
        <w:rPr/>
      </w:pPr>
      <w:r>
        <w:rPr/>
        <w:t> </w:t>
      </w:r>
    </w:p>
    <w:p>
      <w:pPr>
        <w:pStyle w:val="Normal"/>
        <w:spacing w:lineRule="auto" w:line="276"/>
        <w:rPr/>
      </w:pPr>
      <w:r>
        <w:rPr/>
        <w:t>Атомоход оборудован системой электродвижения переменного тока с асинхронными гребными электродвигателями. Она создана филиалом ЦНИИ СЭТ — ФГУП «Крыловский государственный научный центр». Это первая отечественная разработка, позволяющая получить пакетное решение для управления ледоколом в любых режимах.</w:t>
      </w:r>
    </w:p>
    <w:p>
      <w:pPr>
        <w:pStyle w:val="Normal"/>
        <w:spacing w:lineRule="auto" w:line="276"/>
        <w:rPr/>
      </w:pPr>
      <w:r>
        <w:rPr/>
        <w:t> </w:t>
      </w:r>
    </w:p>
    <w:p>
      <w:pPr>
        <w:pStyle w:val="Normal"/>
        <w:spacing w:lineRule="auto" w:line="276"/>
        <w:rPr/>
      </w:pPr>
      <w:r>
        <w:rPr/>
        <w:t>Основные характеристики универсального атомного ледокола проекта 22220: длина 173,3 метра (160 метров по КВЛ); ширина 34 метра (33 метра по КВЛ); высота борта 15,2 метра; мощность 60 МВт (на валах); скорость хода 22 узла (по чистой воде); осадка 10,5 метра / 9,03 метра; максимальная ледопроходимость до 3 метров; водоизмещение 33 540 тонн; расчетный срок службы 40 лет; численность экипажа 54 человека.                     </w:t>
      </w:r>
    </w:p>
    <w:p>
      <w:pPr>
        <w:pStyle w:val="Normal"/>
        <w:spacing w:lineRule="auto" w:line="276"/>
        <w:rPr/>
      </w:pPr>
      <w:r>
        <w:rPr/>
        <w:t> </w:t>
      </w:r>
    </w:p>
    <w:p>
      <w:pPr>
        <w:pStyle w:val="Normal"/>
        <w:spacing w:lineRule="auto" w:line="276"/>
        <w:rPr/>
      </w:pPr>
      <w:r>
        <w:rPr/>
        <w:t>Комплексное развитие Арктической зоны РФ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                    </w:t>
      </w:r>
    </w:p>
    <w:p>
      <w:pPr>
        <w:pStyle w:val="Normal"/>
        <w:spacing w:lineRule="auto" w:line="276"/>
        <w:rPr/>
      </w:pPr>
      <w:r>
        <w:rPr/>
        <w:t> </w:t>
      </w:r>
    </w:p>
    <w:p>
      <w:pPr>
        <w:pStyle w:val="Normal"/>
        <w:spacing w:lineRule="auto" w:line="276"/>
        <w:rPr>
          <w:sz w:val="28"/>
          <w:szCs w:val="28"/>
        </w:rPr>
      </w:pPr>
      <w:r>
        <w:rPr/>
        <w:t xml:space="preserve"> </w:t>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t>Департамент коммуникаций Госкорпорации «Росатом»</w:t>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I86xG8ccuYomvvCCsAPLpNPMsJg==">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903</Words>
  <Characters>6584</Characters>
  <CharactersWithSpaces>7539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2024-01-26T11:06:00Z</dcterms:created>
  <dc:creator>b v</dc:creator>
  <dc:description/>
  <dc:language>ru-RU</dc:language>
  <cp:lastModifiedBy/>
  <dcterms:modified xsi:type="dcterms:W3CDTF">2024-01-26T17:44:35Z</dcterms:modified>
  <cp:revision>1</cp:revision>
  <dc:subject/>
  <dc:title/>
</cp:coreProperties>
</file>