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7.0" w:type="dxa"/>
        <w:jc w:val="left"/>
        <w:tblInd w:w="108.0" w:type="dxa"/>
        <w:tblLayout w:type="fixed"/>
        <w:tblLook w:val="0400"/>
      </w:tblPr>
      <w:tblGrid>
        <w:gridCol w:w="2194"/>
        <w:gridCol w:w="3535"/>
        <w:gridCol w:w="3518"/>
        <w:tblGridChange w:id="0">
          <w:tblGrid>
            <w:gridCol w:w="2194"/>
            <w:gridCol w:w="3535"/>
            <w:gridCol w:w="3518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ind w:right="560"/>
              <w:rPr>
                <w:rFonts w:ascii="Calibri" w:cs="Calibri" w:eastAsia="Calibri" w:hAnsi="Calibri"/>
              </w:rPr>
            </w:pPr>
            <w:r w:rsidDel="00000000" w:rsidR="00000000" w:rsidRPr="00000000">
              <w:rPr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ind w:right="5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right="5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ind w:right="560"/>
              <w:jc w:val="righ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right="560"/>
              <w:jc w:val="right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11.07.24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highlight w:val="white"/>
          <w:rtl w:val="0"/>
        </w:rPr>
        <w:t xml:space="preserve">Курская АЭС представила будущее энергетики региона на межрегиональной Курской Коренской ярмарке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333333"/>
          <w:sz w:val="24"/>
          <w:szCs w:val="24"/>
          <w:highlight w:val="white"/>
          <w:rtl w:val="0"/>
        </w:rPr>
        <w:t xml:space="preserve">Экспозиция станции акцентировала внимание участников и гостей ярмарки на флагманском проекте 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г</w:t>
      </w:r>
      <w:r w:rsidDel="00000000" w:rsidR="00000000" w:rsidRPr="00000000">
        <w:rPr>
          <w:rFonts w:ascii="Calibri" w:cs="Calibri" w:eastAsia="Calibri" w:hAnsi="Calibri"/>
          <w:i w:val="1"/>
          <w:color w:val="333333"/>
          <w:sz w:val="24"/>
          <w:szCs w:val="24"/>
          <w:highlight w:val="white"/>
          <w:rtl w:val="0"/>
        </w:rPr>
        <w:t xml:space="preserve">оскорпорации — энергоблоках с ВВЭР-ТОИ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alibri" w:cs="Calibri" w:eastAsia="Calibri" w:hAnsi="Calibri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Курская АЭС (предприятие Электроэнергетического дивизиона госкорпорации «Росатом») представила будущее энергетики региона на межрегиональной Курской Коренской ярмарке, которая завершилась 7 июля. Посетители стенда станции увидели информативный стенд, включавший в себя мультимедийные системы и информационные панели. </w:t>
      </w:r>
    </w:p>
    <w:p w:rsidR="00000000" w:rsidDel="00000000" w:rsidP="00000000" w:rsidRDefault="00000000" w:rsidRPr="00000000" w14:paraId="0000000C">
      <w:pPr>
        <w:spacing w:after="0" w:line="276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Calibri" w:cs="Calibri" w:eastAsia="Calibri" w:hAnsi="Calibri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С экспозицией Курской АЭС ознакомился врио губернатора Алексей Смирнов. Ему была презентована книга «Мониторинг биологического разнообразия техногенных ландшафтов Курской области», рассказывающая о безопасности и экологической составляющей работы атомной станции. </w:t>
      </w:r>
    </w:p>
    <w:p w:rsidR="00000000" w:rsidDel="00000000" w:rsidP="00000000" w:rsidRDefault="00000000" w:rsidRPr="00000000" w14:paraId="0000000E">
      <w:pPr>
        <w:spacing w:after="0" w:line="276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«Значение Курской атомной станции огромно не только для области, но и для всего региона. Мы уже выработали более 1 трлн киловатт-часов электроэнергии с момента пуска первого энергоблока в 1976 году. Этой «реки» электроэнергии Курской области хватило бы более чем на сто лет»,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 сказал директор Курской АЭС Александр Увакин.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ind w:right="5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WywZccpa2qP7lgebwSmzQg4ZQ==">CgMxLjAyCGguZ2pkZ3hzOAByITE3OXR0dTJvN0JMM2tTX1BuYzRtaHdxdEZvVG9pYXctWg==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2024-07-11T13:21:00Z</dcterms:created>
  <dc:creator>Olga</dc:creator>
</cp:coreProperties>
</file>