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12.02.24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продемонстрирует уникальные разработки для здравоохранения на Форуме будущих технологий</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Форум пройдет 13–14 февраля 2024 г. в Москве, Госкорпорация «Росатом» примет в нем участие в качестве соорганизатора</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На стенде Госкорпорации «Росатом» будут представлены инновационные разработки и решения в области ядерной медицины, генетических и биотехнологий, регенеративной медицины и биологической безопасности. В частности, Росатом впервые покажет аппарат нового поколения, предназначенный для лечения онкологических заболеваний, — линейный ускоритель «Торус», а также устройство «Сангинокс», которое неограниченно синтезирует </w:t>
      </w:r>
      <w:r w:rsidDel="00000000" w:rsidR="00000000" w:rsidRPr="00000000">
        <w:rPr>
          <w:rtl w:val="0"/>
        </w:rPr>
        <w:t xml:space="preserve">из воздуха </w:t>
      </w:r>
      <w:r w:rsidDel="00000000" w:rsidR="00000000" w:rsidRPr="00000000">
        <w:rPr>
          <w:rtl w:val="0"/>
        </w:rPr>
        <w:t xml:space="preserve">и подает оксид азота в контур крови при использовании для аппаратов искусственного кровообращения. Гости форума смогут познакомиться с продукцией Росатома в сфере радиофармацевтики. Посетители узнают, как работают офтальмоаппликаторы на основе рутения-106 и стронция-90 для терапии онкологических заболеваний глаз и окологлазной области, радиофармпрепараты на основе йода-125 для лечения рака щитовидной железы, самария-153 для лечения метастазов в костных тканях при различных видах рака и другие препараты на основе радиоизотопов. Росатом впервые представит информацию о полной линейке продукции, которую будет выпускать строящийся в г. Обнинске завод по производству радиофармпрепаратов.</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Среди других разработок, которые представит Росатом на форуме, — биосовместимые импланты, которые «выращивают» ученые Росатома из металлического порошка </w:t>
      </w:r>
      <w:r w:rsidDel="00000000" w:rsidR="00000000" w:rsidRPr="00000000">
        <w:rPr>
          <w:rtl w:val="0"/>
        </w:rPr>
        <w:t xml:space="preserve">с помощью лазеров </w:t>
      </w:r>
      <w:r w:rsidDel="00000000" w:rsidR="00000000" w:rsidRPr="00000000">
        <w:rPr>
          <w:rtl w:val="0"/>
        </w:rPr>
        <w:t xml:space="preserve">в Троицке. По своему строению они максимально приближены к биологическим структурам человека и имеют специальное (остеотропное) покрытие, эквивалентное костной ткани. Все это повышает совместимость с тканями пациента. Благодаря разработанному в научном дивизионе Росатома специальному программному обеспечению (ПО) можно создавать импланты уникальной формы в соответствии с данными КТ и МРТ пациента. Ученые Росатома первыми в стране получили регистрационные удостоверения на подобное ПО и готовые изделия. Использование этих цифровых и аддитивных технологий позволит получать готовые индивидуальные импланты в медицинском учреждении уже через 3–7 дней (сейчас это срок достигает двух месяцев). В совокупности это позволит сократить сроки восстановления пациентов в 2–3 раза.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Гостям форума также будет представлено применение квантовых технологий в решении задач моделирования, что важно для разработки новых материалов и лекарственных препаратов.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Отдельная экспертная дискуссия в рамках форума будет посвящена медицинскому оборудованию и лекарственным препаратам для ядерной медицины. Встреча состоится 14 февраля, модератором дискуссии выступит первый заместитель генерального директора — директор Блока по развитию и международному бизнесу Госкорпорации «Росатом» Кирилл Комаров. Среди спикеров — заместитель министра здравоохранения России Сергей Глаголев, заместитель министра промышленности и торговли России Василий Шпак, заместитель генерального директора по науке НИЦ «Курчатовский институт» Юлия Дьякова, заместитель директора по реализации федеральных проектов ФГБУ «НМИЦ онкологии им. Н. Н. Блохина» Минздрава России Тигран Геворкян, заместитель директора по научной работе ФГБУ «РНЦ РХТ им. А. М. Гранова» Минздрава России Андрей Станжевский, заместитель директора по научной и инновационной работе Томского НМИЦ РАН Владимир Чернов, ведущий научный сотрудник ФГБУ «НМИЦ онкологии им. Н. Н. Блохина» Алексей Аншелес, председатель комитета Государственной Думы Федерального Собрания Российской Федерации Бадма Башанкаев.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Кроме того, 13 февраля состоится закрытое заседание рабочей группы стран БРИКС по ядерной медицине. Среди участников заседания — партнеры из Саудовской Аравии, Эфиопии, ОАЭ, Ирана, Египта, Китая, Бразилии, Индии, ЮАР и России. В рамках заседания планируется обсудить основные задачи в области развития современных медицинских технологий и разработать положение по рабочей группе стран БРИКС по ядерной медицине, которая создана решением саммита БРИКС 2023 года.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Организатором второго Форума будущих технологий выступает Фонд Росконгресс при поддержке Министерства здравоохранения Российской Федерации, Министерства науки и высшего образования Российской Федерации, Федерального медико-биологического агентства, Федеральной службы по надзору в сфере защиты прав потребителей и благополучия человека, Российской академии наук и Российского квантового центра. Соорганизаторы: Газпромбанк, Госкорпорация «Росатом», Правительство Москвы. Генеральный партнер — Сбербанк. Стратегический научный партнер — НИЦ «Курчатовский институт». Партнеры: РЖД, Фонд «Сколково». Партнер деловой программы — АО «Р-Фарм».</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Форум проводится в рамках Десятилетия науки и технологий в России, объявленного с 2022 года указом Президента Российской Федерации Владимира Путина.</w:t>
      </w:r>
    </w:p>
    <w:p w:rsidR="00000000" w:rsidDel="00000000" w:rsidP="00000000" w:rsidRDefault="00000000" w:rsidRPr="00000000" w14:paraId="00000018">
      <w:pPr>
        <w:spacing w:line="276" w:lineRule="auto"/>
        <w:rPr/>
      </w:pPr>
      <w:r w:rsidDel="00000000" w:rsidR="00000000" w:rsidRPr="00000000">
        <w:rPr>
          <w:rtl w:val="0"/>
        </w:rPr>
        <w:t xml:space="preserve">Официальный сайт Форума будущих технологий: future-forum.tech</w:t>
      </w:r>
    </w:p>
    <w:p w:rsidR="00000000" w:rsidDel="00000000" w:rsidP="00000000" w:rsidRDefault="00000000" w:rsidRPr="00000000" w14:paraId="00000019">
      <w:pPr>
        <w:spacing w:line="276" w:lineRule="auto"/>
        <w:rPr>
          <w:i w:val="1"/>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«Технологии здоровья» — дивизион, аккумулирующий экспертизу Госкорпорации «Росатом» в сфере здравоохранения. Компания создана на базе предприятий и институтов Росатома с целью комплексного развития медицинских технологий в России и за рубежом. Дивизион «Технологии здоровья» развивается по четырем основным направлениям: комплексные решения для медицины; производство и поставка изотопной продукции (50 стран мира); оборудование для диагностики и терапии; решения для ионизирующей обработки продукции.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Президент и Правительство Российской Федерации, профильные ведомства уделяют большое внимание повышению уровня здравоохранения и доступности современной медицинской помощи. Это один из значимых факторов роста продолжительности и качества жизни граждан. Крупные российские компании оказывают поддержку комплексной модернизации системы здравоохранения, развитию соответствующей инфраструктуры. Росатом и его предприятия принимают активное участие в этой работе.</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b w:val="1"/>
        </w:rPr>
      </w:pPr>
      <w:r w:rsidDel="00000000" w:rsidR="00000000" w:rsidRPr="00000000">
        <w:rPr>
          <w:b w:val="1"/>
          <w:rtl w:val="0"/>
        </w:rPr>
        <w:t xml:space="preserve">Состав экспонатов:</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rPr/>
      </w:pPr>
      <w:r w:rsidDel="00000000" w:rsidR="00000000" w:rsidRPr="00000000">
        <w:rPr>
          <w:rtl w:val="0"/>
        </w:rPr>
        <w:t xml:space="preserve">Персонализированные и серийные композиционные изделия.</w:t>
      </w:r>
    </w:p>
    <w:p w:rsidR="00000000" w:rsidDel="00000000" w:rsidP="00000000" w:rsidRDefault="00000000" w:rsidRPr="00000000" w14:paraId="00000023">
      <w:pPr>
        <w:numPr>
          <w:ilvl w:val="0"/>
          <w:numId w:val="1"/>
        </w:numPr>
        <w:spacing w:line="276" w:lineRule="auto"/>
        <w:ind w:left="720" w:hanging="360"/>
        <w:rPr/>
      </w:pPr>
      <w:r w:rsidDel="00000000" w:rsidR="00000000" w:rsidRPr="00000000">
        <w:rPr>
          <w:rtl w:val="0"/>
        </w:rPr>
        <w:t xml:space="preserve">Генератор рения-188 ГРЕН-1.</w:t>
      </w:r>
    </w:p>
    <w:p w:rsidR="00000000" w:rsidDel="00000000" w:rsidP="00000000" w:rsidRDefault="00000000" w:rsidRPr="00000000" w14:paraId="00000024">
      <w:pPr>
        <w:numPr>
          <w:ilvl w:val="0"/>
          <w:numId w:val="1"/>
        </w:numPr>
        <w:spacing w:line="276" w:lineRule="auto"/>
        <w:ind w:left="720" w:hanging="360"/>
        <w:rPr/>
      </w:pPr>
      <w:r w:rsidDel="00000000" w:rsidR="00000000" w:rsidRPr="00000000">
        <w:rPr>
          <w:rtl w:val="0"/>
        </w:rPr>
        <w:t xml:space="preserve">Офтальмоаппликаторы на основе радиоизотопов </w:t>
      </w:r>
      <w:r w:rsidDel="00000000" w:rsidR="00000000" w:rsidRPr="00000000">
        <w:rPr>
          <w:vertAlign w:val="superscript"/>
          <w:rtl w:val="0"/>
        </w:rPr>
        <w:t xml:space="preserve">106</w:t>
      </w:r>
      <w:r w:rsidDel="00000000" w:rsidR="00000000" w:rsidRPr="00000000">
        <w:rPr>
          <w:rtl w:val="0"/>
        </w:rPr>
        <w:t xml:space="preserve">Ru и </w:t>
      </w:r>
      <w:r w:rsidDel="00000000" w:rsidR="00000000" w:rsidRPr="00000000">
        <w:rPr>
          <w:vertAlign w:val="superscript"/>
          <w:rtl w:val="0"/>
        </w:rPr>
        <w:t xml:space="preserve">90</w:t>
      </w:r>
      <w:r w:rsidDel="00000000" w:rsidR="00000000" w:rsidRPr="00000000">
        <w:rPr>
          <w:rtl w:val="0"/>
        </w:rPr>
        <w:t xml:space="preserve">Sr.</w:t>
      </w:r>
    </w:p>
    <w:p w:rsidR="00000000" w:rsidDel="00000000" w:rsidP="00000000" w:rsidRDefault="00000000" w:rsidRPr="00000000" w14:paraId="00000025">
      <w:pPr>
        <w:numPr>
          <w:ilvl w:val="0"/>
          <w:numId w:val="1"/>
        </w:numPr>
        <w:spacing w:line="276" w:lineRule="auto"/>
        <w:ind w:left="720" w:hanging="360"/>
        <w:rPr/>
      </w:pPr>
      <w:r w:rsidDel="00000000" w:rsidR="00000000" w:rsidRPr="00000000">
        <w:rPr>
          <w:rtl w:val="0"/>
        </w:rPr>
        <w:t xml:space="preserve">Микроисточники на основе радионуклида </w:t>
      </w:r>
      <w:r w:rsidDel="00000000" w:rsidR="00000000" w:rsidRPr="00000000">
        <w:rPr>
          <w:vertAlign w:val="superscript"/>
          <w:rtl w:val="0"/>
        </w:rPr>
        <w:t xml:space="preserve">125</w:t>
      </w:r>
      <w:r w:rsidDel="00000000" w:rsidR="00000000" w:rsidRPr="00000000">
        <w:rPr>
          <w:rtl w:val="0"/>
        </w:rPr>
        <w:t xml:space="preserve">I в стрендах.</w:t>
      </w:r>
    </w:p>
    <w:p w:rsidR="00000000" w:rsidDel="00000000" w:rsidP="00000000" w:rsidRDefault="00000000" w:rsidRPr="00000000" w14:paraId="00000026">
      <w:pPr>
        <w:numPr>
          <w:ilvl w:val="0"/>
          <w:numId w:val="1"/>
        </w:numPr>
        <w:spacing w:line="276" w:lineRule="auto"/>
        <w:ind w:left="720" w:hanging="360"/>
        <w:rPr/>
      </w:pPr>
      <w:r w:rsidDel="00000000" w:rsidR="00000000" w:rsidRPr="00000000">
        <w:rPr>
          <w:rtl w:val="0"/>
        </w:rPr>
        <w:t xml:space="preserve">Актиний-225 нитрат, без носителя.</w:t>
      </w:r>
    </w:p>
    <w:p w:rsidR="00000000" w:rsidDel="00000000" w:rsidP="00000000" w:rsidRDefault="00000000" w:rsidRPr="00000000" w14:paraId="00000027">
      <w:pPr>
        <w:numPr>
          <w:ilvl w:val="0"/>
          <w:numId w:val="1"/>
        </w:numPr>
        <w:spacing w:line="276" w:lineRule="auto"/>
        <w:ind w:left="720" w:hanging="360"/>
        <w:rPr/>
      </w:pPr>
      <w:r w:rsidDel="00000000" w:rsidR="00000000" w:rsidRPr="00000000">
        <w:rPr>
          <w:rtl w:val="0"/>
        </w:rPr>
        <w:t xml:space="preserve">Макет генератора технеция-99m типа ГТ-5К.</w:t>
      </w:r>
    </w:p>
    <w:p w:rsidR="00000000" w:rsidDel="00000000" w:rsidP="00000000" w:rsidRDefault="00000000" w:rsidRPr="00000000" w14:paraId="00000028">
      <w:pPr>
        <w:numPr>
          <w:ilvl w:val="0"/>
          <w:numId w:val="1"/>
        </w:numPr>
        <w:spacing w:line="276" w:lineRule="auto"/>
        <w:ind w:left="720" w:hanging="360"/>
        <w:rPr/>
      </w:pPr>
      <w:r w:rsidDel="00000000" w:rsidR="00000000" w:rsidRPr="00000000">
        <w:rPr>
          <w:rtl w:val="0"/>
        </w:rPr>
        <w:t xml:space="preserve">Макет РФЛП на основе I-131 и Sm-153.</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Макет аппарата «Торус».</w:t>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Аппарат «Тианокс».</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Гемодиализный аппарат, обеспечивающий экстракорпоральное очищение крови.</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Установка плазмохимического синтеза оксида азота для аппаратов искусственного кровообращения «Сангинокс».</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 </w:t>
      </w:r>
    </w:p>
    <w:p w:rsidR="00000000" w:rsidDel="00000000" w:rsidP="00000000" w:rsidRDefault="00000000" w:rsidRPr="00000000" w14:paraId="0000002E">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дивизиона «Технологии здоровья»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i w:val="0"/>
        <w:sz w:val="24"/>
        <w:szCs w:val="24"/>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sc6Eq2N7P+5/0ULGPfkzd1S/A==">CgMxLjA4AGojChRzdWdnZXN0LjF2ejVmcXZjcWowbxILU3RyYW5nZSBDYXRqIwoUc3VnZ2VzdC5rMzFtdWw4NTF5NHQSC1N0cmFuZ2UgQ2F0aiMKFHN1Z2dlc3QuNnJnOHpsdmw0OGF6EgtTdHJhbmdlIENhdGojChRzdWdnZXN0Ljc2cTRpMGVtYjJvMBILU3RyYW5nZSBDYXRqIwoUc3VnZ2VzdC5qNHp6bWI0dnZqZmsSC1N0cmFuZ2UgQ2F0aiMKFHN1Z2dlc3QubmxiaGk4M3dtYnZpEgtTdHJhbmdlIENhdGojChRzdWdnZXN0LnVkMHBpOGxsdjV2NBILU3RyYW5nZSBDYXRqIwoUc3VnZ2VzdC5xa204MzA5OXFncWgSC1N0cmFuZ2UgQ2F0aiMKFHN1Z2dlc3QucjB3NWdwcGd2anp2EgtTdHJhbmdlIENhdGojChRzdWdnZXN0LjdkemZoMDFzcTdjMxILU3RyYW5nZSBDYXRqIwoUc3VnZ2VzdC5zZ2p3aXI4Mm1ybzESC1N0cmFuZ2UgQ2F0aiMKFHN1Z2dlc3QubXk0dW5zaWZ1dHlzEgtTdHJhbmdlIENhdGojChRzdWdnZXN0LjRzZXZicmx3bjZ1dBILU3RyYW5nZSBDYXRqIwoUc3VnZ2VzdC5xYW4wYjZiczV1NmMSC1N0cmFuZ2UgQ2F0aiMKFHN1Z2dlc3Qua3RrMGNmbmtodDhkEgtTdHJhbmdlIENhdGojChRzdWdnZXN0LnQzOTAwd3B6NWt0YhILU3RyYW5nZSBDYXRqIgoTc3VnZ2VzdC5kNWo0aHd4N2lrZBILU3RyYW5nZSBDYXRqIwoUc3VnZ2VzdC5pazA5dTI3djZsbTgSC1N0cmFuZ2UgQ2F0aiMKFHN1Z2dlc3QuaHJveWxjaGFtN3RpEgtTdHJhbmdlIENhdGojChRzdWdnZXN0LjE4cmRwcWJmODV0YhILU3RyYW5nZSBDYXRqIwoUc3VnZ2VzdC5sMHIxeG8yYmN2ejkSC1N0cmFuZ2UgQ2F0aiMKFHN1Z2dlc3QudDAyendicmowcnpmEgtTdHJhbmdlIENhdGojChRzdWdnZXN0LnloZ28xaXoyNjhzNRILU3RyYW5nZSBDYXRqIwoUc3VnZ2VzdC51aGM5OWQ1YXVhZnUSC1N0cmFuZ2UgQ2F0aiMKFHN1Z2dlc3QuazUzOWVrYXc2dHZwEgtTdHJhbmdlIENhdGojChRzdWdnZXN0LmltaDk3M3Viam92axILU3RyYW5nZSBDYXRqIwoUc3VnZ2VzdC40bTJlYzh6MXY2YncSC1N0cmFuZ2UgQ2F0aiIKE3N1Z2dlc3QudzcxbXl5em93ZWMSC1N0cmFuZ2UgQ2F0aiMKFHN1Z2dlc3QuNDN5MHBsbWc4ZTMyEgtTdHJhbmdlIENhdGojChRzdWdnZXN0Ljd6ZTRoMWtrY3NpaRILU3RyYW5nZSBDYXRqIwoUc3VnZ2VzdC54ZTB3MXQ0Mm9mYnkSC1N0cmFuZ2UgQ2F0ciExeG1QVjlmOGJlN3MzakdvRFc0cWt0bnFLSGNyTkpwW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2024-02-12T08:30:00Z</dcterms:created>
  <dc:creator>b v</dc:creator>
</cp:coreProperties>
</file>