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5D70" w:rsidRDefault="00843F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Rosatom and Carbon Zero Sign Contract to Register Green Certificates</w:t>
      </w:r>
    </w:p>
    <w:p w14:paraId="00000002" w14:textId="77777777" w:rsidR="00225D70" w:rsidRDefault="00225D70">
      <w:pPr>
        <w:jc w:val="both"/>
        <w:rPr>
          <w:rFonts w:ascii="Times New Roman" w:eastAsia="Times New Roman" w:hAnsi="Times New Roman" w:cs="Times New Roman"/>
          <w:sz w:val="28"/>
          <w:szCs w:val="28"/>
        </w:rPr>
      </w:pPr>
    </w:p>
    <w:p w14:paraId="00000003"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WindSGC-2 (part of Rosatom’s wind power division) and Carbon Zero LLC signed a contract to maintain a register of green certificates. According to the contract, Carbon Zero will maintain a register of certificates issued for the electric power generated at</w:t>
      </w:r>
      <w:r>
        <w:rPr>
          <w:rFonts w:ascii="Times New Roman" w:eastAsia="Times New Roman" w:hAnsi="Times New Roman" w:cs="Times New Roman"/>
          <w:sz w:val="28"/>
          <w:szCs w:val="28"/>
        </w:rPr>
        <w:t xml:space="preserve"> Rosatom’s renewable energy facilities as required by the green electricity certification standard.</w:t>
      </w:r>
    </w:p>
    <w:p w14:paraId="00000004"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Three of Rosatom’s wind farms – </w:t>
      </w:r>
      <w:proofErr w:type="spellStart"/>
      <w:r>
        <w:rPr>
          <w:rFonts w:ascii="Times New Roman" w:eastAsia="Times New Roman" w:hAnsi="Times New Roman" w:cs="Times New Roman"/>
          <w:sz w:val="28"/>
          <w:szCs w:val="28"/>
        </w:rPr>
        <w:t>Medvezhenskaya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Berestovskaya</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Kuzminskaya</w:t>
      </w:r>
      <w:proofErr w:type="spellEnd"/>
      <w:r>
        <w:rPr>
          <w:rFonts w:ascii="Times New Roman" w:eastAsia="Times New Roman" w:hAnsi="Times New Roman" w:cs="Times New Roman"/>
          <w:sz w:val="28"/>
          <w:szCs w:val="28"/>
        </w:rPr>
        <w:t> – are entered into the register.</w:t>
      </w:r>
    </w:p>
    <w:p w14:paraId="00000005"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certificates will best suit those consume</w:t>
      </w:r>
      <w:r>
        <w:rPr>
          <w:rFonts w:ascii="Times New Roman" w:eastAsia="Times New Roman" w:hAnsi="Times New Roman" w:cs="Times New Roman"/>
          <w:sz w:val="28"/>
          <w:szCs w:val="28"/>
        </w:rPr>
        <w:t>rs who are not wholesale electricity market entities and cannot buy green electricity through free bilateral agreements.</w:t>
      </w:r>
    </w:p>
    <w:p w14:paraId="00000006"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“Responsible power consumers now have a fully functioning retail tool to confirm sustainability of their operations. The scheme develop</w:t>
      </w:r>
      <w:r>
        <w:rPr>
          <w:rFonts w:ascii="Times New Roman" w:eastAsia="Times New Roman" w:hAnsi="Times New Roman" w:cs="Times New Roman"/>
          <w:sz w:val="28"/>
          <w:szCs w:val="28"/>
        </w:rPr>
        <w:t>ed in Russia has replaced the international certification systems that left our market and has given Russian companies an opportunity to reaffirm their commitments to the ESG principles and decarbonisation. We expect the first green certificate deals to be</w:t>
      </w:r>
      <w:r>
        <w:rPr>
          <w:rFonts w:ascii="Times New Roman" w:eastAsia="Times New Roman" w:hAnsi="Times New Roman" w:cs="Times New Roman"/>
          <w:sz w:val="28"/>
          <w:szCs w:val="28"/>
        </w:rPr>
        <w:t xml:space="preserve"> made with the interested companies in the near future,” </w:t>
      </w:r>
      <w:proofErr w:type="spellStart"/>
      <w:r>
        <w:rPr>
          <w:rFonts w:ascii="Times New Roman" w:eastAsia="Times New Roman" w:hAnsi="Times New Roman" w:cs="Times New Roman"/>
          <w:sz w:val="28"/>
          <w:szCs w:val="28"/>
        </w:rPr>
        <w:t>NovaWind</w:t>
      </w:r>
      <w:proofErr w:type="spellEnd"/>
      <w:r>
        <w:rPr>
          <w:rFonts w:ascii="Times New Roman" w:eastAsia="Times New Roman" w:hAnsi="Times New Roman" w:cs="Times New Roman"/>
          <w:sz w:val="28"/>
          <w:szCs w:val="28"/>
        </w:rPr>
        <w:t xml:space="preserve"> CEO </w:t>
      </w:r>
      <w:proofErr w:type="spellStart"/>
      <w:r>
        <w:rPr>
          <w:rFonts w:ascii="Times New Roman" w:eastAsia="Times New Roman" w:hAnsi="Times New Roman" w:cs="Times New Roman"/>
          <w:sz w:val="28"/>
          <w:szCs w:val="28"/>
        </w:rPr>
        <w:t>Grigoriy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Nazarov</w:t>
      </w:r>
      <w:proofErr w:type="spellEnd"/>
      <w:r>
        <w:rPr>
          <w:rFonts w:ascii="Times New Roman" w:eastAsia="Times New Roman" w:hAnsi="Times New Roman" w:cs="Times New Roman"/>
          <w:sz w:val="28"/>
          <w:szCs w:val="28"/>
        </w:rPr>
        <w:t xml:space="preserve"> said. </w:t>
      </w:r>
    </w:p>
    <w:p w14:paraId="00000007"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“Rosatom has long been a driver of the low carbon agenda in Russia. And now, after </w:t>
      </w:r>
      <w:proofErr w:type="spellStart"/>
      <w:r>
        <w:rPr>
          <w:rFonts w:ascii="Times New Roman" w:eastAsia="Times New Roman" w:hAnsi="Times New Roman" w:cs="Times New Roman"/>
          <w:sz w:val="28"/>
          <w:szCs w:val="28"/>
        </w:rPr>
        <w:t>NovaWind’s</w:t>
      </w:r>
      <w:proofErr w:type="spellEnd"/>
      <w:r>
        <w:rPr>
          <w:rFonts w:ascii="Times New Roman" w:eastAsia="Times New Roman" w:hAnsi="Times New Roman" w:cs="Times New Roman"/>
          <w:sz w:val="28"/>
          <w:szCs w:val="28"/>
        </w:rPr>
        <w:t xml:space="preserve"> generation facilities are put on the register, Russian consumers hav</w:t>
      </w:r>
      <w:r>
        <w:rPr>
          <w:rFonts w:ascii="Times New Roman" w:eastAsia="Times New Roman" w:hAnsi="Times New Roman" w:cs="Times New Roman"/>
          <w:sz w:val="28"/>
          <w:szCs w:val="28"/>
        </w:rPr>
        <w:t>e much more opportunities to use green certificates associated with the power generation at the new wind farms,” Vladislav Berezovsky, Director of Business Development at Carbon Zero, pointed out.</w:t>
      </w:r>
    </w:p>
    <w:p w14:paraId="00000008" w14:textId="77777777" w:rsidR="00225D70" w:rsidRDefault="00225D70">
      <w:pPr>
        <w:jc w:val="both"/>
        <w:rPr>
          <w:rFonts w:ascii="Times New Roman" w:eastAsia="Times New Roman" w:hAnsi="Times New Roman" w:cs="Times New Roman"/>
          <w:sz w:val="28"/>
          <w:szCs w:val="28"/>
        </w:rPr>
      </w:pPr>
    </w:p>
    <w:p w14:paraId="00000009"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Additional information: </w:t>
      </w:r>
    </w:p>
    <w:p w14:paraId="0000000A" w14:textId="77777777" w:rsidR="00225D70" w:rsidRDefault="00843F6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Green Certificates in Russia</w:t>
      </w:r>
    </w:p>
    <w:p w14:paraId="0000000B" w14:textId="77777777" w:rsidR="00225D70" w:rsidRDefault="00843F68">
      <w:pPr>
        <w:numPr>
          <w:ilvl w:val="0"/>
          <w:numId w:val="1"/>
        </w:numPr>
        <w:spacing w:after="0"/>
        <w:jc w:val="both"/>
        <w:rPr>
          <w:rFonts w:ascii="Times New Roman" w:eastAsia="Times New Roman" w:hAnsi="Times New Roman" w:cs="Times New Roman"/>
          <w:sz w:val="28"/>
          <w:szCs w:val="28"/>
        </w:rPr>
      </w:pPr>
      <w:sdt>
        <w:sdtPr>
          <w:tag w:val="goog_rdk_0"/>
          <w:id w:val="-1837752260"/>
        </w:sdtPr>
        <w:sdtEndPr/>
        <w:sdtContent>
          <w:commentRangeStart w:id="0"/>
        </w:sdtContent>
      </w:sdt>
      <w:r>
        <w:rPr>
          <w:rFonts w:ascii="Times New Roman" w:eastAsia="Times New Roman" w:hAnsi="Times New Roman" w:cs="Times New Roman"/>
          <w:sz w:val="28"/>
          <w:szCs w:val="28"/>
        </w:rPr>
        <w:t>Th</w:t>
      </w:r>
      <w:r>
        <w:rPr>
          <w:rFonts w:ascii="Times New Roman" w:eastAsia="Times New Roman" w:hAnsi="Times New Roman" w:cs="Times New Roman"/>
          <w:sz w:val="28"/>
          <w:szCs w:val="28"/>
        </w:rPr>
        <w:t>e scheme for the issue of green certificates in compliance with the Carbon Zero standard</w:t>
      </w:r>
      <w:commentRangeEnd w:id="0"/>
      <w:r>
        <w:commentReference w:id="0"/>
      </w:r>
    </w:p>
    <w:p w14:paraId="0000000C" w14:textId="77777777" w:rsidR="00225D70" w:rsidRDefault="00843F68">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Olga </w:t>
      </w:r>
      <w:proofErr w:type="spellStart"/>
      <w:r>
        <w:rPr>
          <w:rFonts w:ascii="Times New Roman" w:eastAsia="Times New Roman" w:hAnsi="Times New Roman" w:cs="Times New Roman"/>
          <w:sz w:val="24"/>
          <w:szCs w:val="24"/>
        </w:rPr>
        <w:t>Tokar</w:t>
      </w:r>
      <w:proofErr w:type="spellEnd"/>
      <w:r>
        <w:rPr>
          <w:rFonts w:ascii="Times New Roman" w:eastAsia="Times New Roman" w:hAnsi="Times New Roman" w:cs="Times New Roman"/>
          <w:sz w:val="24"/>
          <w:szCs w:val="24"/>
        </w:rPr>
        <w:t xml:space="preserve">, Sustainability Director at </w:t>
      </w:r>
      <w:proofErr w:type="spellStart"/>
      <w:r>
        <w:rPr>
          <w:rFonts w:ascii="Times New Roman" w:eastAsia="Times New Roman" w:hAnsi="Times New Roman" w:cs="Times New Roman"/>
          <w:sz w:val="24"/>
          <w:szCs w:val="24"/>
        </w:rPr>
        <w:t>Delo</w:t>
      </w:r>
      <w:proofErr w:type="spellEnd"/>
      <w:r>
        <w:rPr>
          <w:rFonts w:ascii="Times New Roman" w:eastAsia="Times New Roman" w:hAnsi="Times New Roman" w:cs="Times New Roman"/>
          <w:sz w:val="24"/>
          <w:szCs w:val="24"/>
        </w:rPr>
        <w:t xml:space="preserve"> Group</w:t>
      </w:r>
    </w:p>
    <w:p w14:paraId="0000000D" w14:textId="77777777" w:rsidR="00225D70" w:rsidRDefault="00225D70">
      <w:pPr>
        <w:jc w:val="both"/>
        <w:rPr>
          <w:rFonts w:ascii="Times New Roman" w:eastAsia="Times New Roman" w:hAnsi="Times New Roman" w:cs="Times New Roman"/>
          <w:sz w:val="28"/>
          <w:szCs w:val="28"/>
        </w:rPr>
      </w:pPr>
    </w:p>
    <w:p w14:paraId="0000000E"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reference: </w:t>
      </w:r>
    </w:p>
    <w:p w14:paraId="0000000F" w14:textId="77777777" w:rsidR="00225D70" w:rsidRDefault="00225D70">
      <w:pPr>
        <w:jc w:val="both"/>
        <w:rPr>
          <w:rFonts w:ascii="Times New Roman" w:eastAsia="Times New Roman" w:hAnsi="Times New Roman" w:cs="Times New Roman"/>
          <w:sz w:val="28"/>
          <w:szCs w:val="28"/>
        </w:rPr>
      </w:pPr>
    </w:p>
    <w:p w14:paraId="00000010" w14:textId="77777777" w:rsidR="00225D70" w:rsidRDefault="00843F68">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NovaWind</w:t>
      </w:r>
      <w:proofErr w:type="spellEnd"/>
      <w:r>
        <w:rPr>
          <w:rFonts w:ascii="Times New Roman" w:eastAsia="Times New Roman" w:hAnsi="Times New Roman" w:cs="Times New Roman"/>
          <w:sz w:val="28"/>
          <w:szCs w:val="28"/>
        </w:rPr>
        <w:t xml:space="preserve"> is Rosatom's wind power division consolidating efforts of the Russian nuclear corporati</w:t>
      </w:r>
      <w:r>
        <w:rPr>
          <w:rFonts w:ascii="Times New Roman" w:eastAsia="Times New Roman" w:hAnsi="Times New Roman" w:cs="Times New Roman"/>
          <w:sz w:val="28"/>
          <w:szCs w:val="28"/>
        </w:rPr>
        <w:t xml:space="preserve">on in advanced areas of the energy generation technology. Established in September 2017, the company accumulates Rosatom’s competencies in wind power generation, from design and construction to mechanical engineering </w:t>
      </w:r>
      <w:r>
        <w:rPr>
          <w:rFonts w:ascii="Times New Roman" w:eastAsia="Times New Roman" w:hAnsi="Times New Roman" w:cs="Times New Roman"/>
          <w:sz w:val="28"/>
          <w:szCs w:val="28"/>
        </w:rPr>
        <w:lastRenderedPageBreak/>
        <w:t>and operation of wind farms. As of toda</w:t>
      </w:r>
      <w:r>
        <w:rPr>
          <w:rFonts w:ascii="Times New Roman" w:eastAsia="Times New Roman" w:hAnsi="Times New Roman" w:cs="Times New Roman"/>
          <w:sz w:val="28"/>
          <w:szCs w:val="28"/>
        </w:rPr>
        <w:t xml:space="preserve">y, </w:t>
      </w:r>
      <w:proofErr w:type="spellStart"/>
      <w:r>
        <w:rPr>
          <w:rFonts w:ascii="Times New Roman" w:eastAsia="Times New Roman" w:hAnsi="Times New Roman" w:cs="Times New Roman"/>
          <w:sz w:val="28"/>
          <w:szCs w:val="28"/>
        </w:rPr>
        <w:t>NovaWind</w:t>
      </w:r>
      <w:proofErr w:type="spellEnd"/>
      <w:r>
        <w:rPr>
          <w:rFonts w:ascii="Times New Roman" w:eastAsia="Times New Roman" w:hAnsi="Times New Roman" w:cs="Times New Roman"/>
          <w:sz w:val="28"/>
          <w:szCs w:val="28"/>
        </w:rPr>
        <w:t xml:space="preserve"> has commissioned 880 MW of wind power capacity. By 2027, Rosatom will put a total of around 1.7 GW of wind capacity in operation.</w:t>
      </w:r>
    </w:p>
    <w:p w14:paraId="00000011" w14:textId="77777777" w:rsidR="00225D70" w:rsidRDefault="00225D70">
      <w:pPr>
        <w:jc w:val="both"/>
        <w:rPr>
          <w:rFonts w:ascii="Times New Roman" w:eastAsia="Times New Roman" w:hAnsi="Times New Roman" w:cs="Times New Roman"/>
          <w:sz w:val="28"/>
          <w:szCs w:val="28"/>
        </w:rPr>
      </w:pPr>
    </w:p>
    <w:p w14:paraId="00000012"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Carbon Zero LLC maintains a register of Russian green certificates. The company offers sustainability solutions t</w:t>
      </w:r>
      <w:r>
        <w:rPr>
          <w:rFonts w:ascii="Times New Roman" w:eastAsia="Times New Roman" w:hAnsi="Times New Roman" w:cs="Times New Roman"/>
          <w:sz w:val="28"/>
          <w:szCs w:val="28"/>
        </w:rPr>
        <w:t>o reduce and offset carbon footprint, providing brokerage and consulting services in the certification of electricity origin and verification of carbon units, climate action projects, carbon reporting, and the development of GHG inventory automation softwa</w:t>
      </w:r>
      <w:r>
        <w:rPr>
          <w:rFonts w:ascii="Times New Roman" w:eastAsia="Times New Roman" w:hAnsi="Times New Roman" w:cs="Times New Roman"/>
          <w:sz w:val="28"/>
          <w:szCs w:val="28"/>
        </w:rPr>
        <w:t>re.</w:t>
      </w:r>
    </w:p>
    <w:p w14:paraId="00000013" w14:textId="77777777" w:rsidR="00225D70" w:rsidRDefault="00225D70">
      <w:pPr>
        <w:jc w:val="both"/>
        <w:rPr>
          <w:rFonts w:ascii="Times New Roman" w:eastAsia="Times New Roman" w:hAnsi="Times New Roman" w:cs="Times New Roman"/>
          <w:sz w:val="28"/>
          <w:szCs w:val="28"/>
        </w:rPr>
      </w:pPr>
    </w:p>
    <w:p w14:paraId="00000014"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source of electricity for industry and households, the power industry paves the way for a progressive social and economic development of the country. Rosatom State Atomic Energy Corporation as a low carbon electricity producer is working consistentl</w:t>
      </w:r>
      <w:r>
        <w:rPr>
          <w:rFonts w:ascii="Times New Roman" w:eastAsia="Times New Roman" w:hAnsi="Times New Roman" w:cs="Times New Roman"/>
          <w:sz w:val="28"/>
          <w:szCs w:val="28"/>
        </w:rPr>
        <w:t>y to enable the transition to a green economy. Environmental mitigation and biodiversity conservation are the priorities of the Russian nuclear corporation in environmental management. Low-carbon power sources already account for nearly 40 % of the Russian</w:t>
      </w:r>
      <w:r>
        <w:rPr>
          <w:rFonts w:ascii="Times New Roman" w:eastAsia="Times New Roman" w:hAnsi="Times New Roman" w:cs="Times New Roman"/>
          <w:sz w:val="28"/>
          <w:szCs w:val="28"/>
        </w:rPr>
        <w:t xml:space="preserve"> energy mix. Their share will only be growing as the use of nuclear and renewables gains ground.</w:t>
      </w:r>
    </w:p>
    <w:p w14:paraId="00000015" w14:textId="77777777" w:rsidR="00225D70" w:rsidRDefault="00225D70">
      <w:pPr>
        <w:jc w:val="both"/>
        <w:rPr>
          <w:rFonts w:ascii="Times New Roman" w:eastAsia="Times New Roman" w:hAnsi="Times New Roman" w:cs="Times New Roman"/>
          <w:sz w:val="28"/>
          <w:szCs w:val="28"/>
        </w:rPr>
      </w:pPr>
    </w:p>
    <w:p w14:paraId="00000016"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green certificate, or a guarantee of origin, proves that certain electricity has been produced using renewable energy sources, such as wind, solar, hydro, a</w:t>
      </w:r>
      <w:r>
        <w:rPr>
          <w:rFonts w:ascii="Times New Roman" w:eastAsia="Times New Roman" w:hAnsi="Times New Roman" w:cs="Times New Roman"/>
          <w:sz w:val="28"/>
          <w:szCs w:val="28"/>
        </w:rPr>
        <w:t>nd others. The certificates are tradeable separately from the electric power for which they have been issued Every transaction with green certificates is entered into a dedicated register.</w:t>
      </w:r>
    </w:p>
    <w:p w14:paraId="00000017" w14:textId="77777777" w:rsidR="00225D70" w:rsidRDefault="00225D70">
      <w:pPr>
        <w:jc w:val="both"/>
        <w:rPr>
          <w:rFonts w:ascii="Times New Roman" w:eastAsia="Times New Roman" w:hAnsi="Times New Roman" w:cs="Times New Roman"/>
          <w:sz w:val="28"/>
          <w:szCs w:val="28"/>
        </w:rPr>
      </w:pPr>
    </w:p>
    <w:p w14:paraId="00000018"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green certificate is an asset separate from electricity – it c</w:t>
      </w:r>
      <w:r>
        <w:rPr>
          <w:rFonts w:ascii="Times New Roman" w:eastAsia="Times New Roman" w:hAnsi="Times New Roman" w:cs="Times New Roman"/>
          <w:sz w:val="28"/>
          <w:szCs w:val="28"/>
        </w:rPr>
        <w:t>aptures the rights related to the positive effects of renewable generation and makes them tradeable. After a company purchases and redeems green certificates, it may declare the use of green energy in its non-financial reports, advertisements and product l</w:t>
      </w:r>
      <w:r>
        <w:rPr>
          <w:rFonts w:ascii="Times New Roman" w:eastAsia="Times New Roman" w:hAnsi="Times New Roman" w:cs="Times New Roman"/>
          <w:sz w:val="28"/>
          <w:szCs w:val="28"/>
        </w:rPr>
        <w:t>abels. Today, it is the most widely used method of embarking on green energy.</w:t>
      </w:r>
    </w:p>
    <w:p w14:paraId="00000019" w14:textId="77777777" w:rsidR="00225D70" w:rsidRDefault="00225D70">
      <w:pPr>
        <w:jc w:val="both"/>
        <w:rPr>
          <w:rFonts w:ascii="Times New Roman" w:eastAsia="Times New Roman" w:hAnsi="Times New Roman" w:cs="Times New Roman"/>
          <w:sz w:val="28"/>
          <w:szCs w:val="28"/>
        </w:rPr>
      </w:pPr>
    </w:p>
    <w:p w14:paraId="0000001A" w14:textId="77777777" w:rsidR="00225D70" w:rsidRDefault="00843F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Russian voluntary Carbon Zero standard approved by the Climate Task Force of the National ESG Alliance is the only green certification standard currently available in Russia after the withdrawal of international certification systems. The standard adhe</w:t>
      </w:r>
      <w:r>
        <w:rPr>
          <w:rFonts w:ascii="Times New Roman" w:eastAsia="Times New Roman" w:hAnsi="Times New Roman" w:cs="Times New Roman"/>
          <w:sz w:val="28"/>
          <w:szCs w:val="28"/>
        </w:rPr>
        <w:t xml:space="preserve">res to AIB and RE100 principles and follows GHG Protocol guidelines to enable responsible power consumers in Russia to offset their carbon footprint </w:t>
      </w:r>
      <w:r>
        <w:rPr>
          <w:rFonts w:ascii="Times New Roman" w:eastAsia="Times New Roman" w:hAnsi="Times New Roman" w:cs="Times New Roman"/>
          <w:sz w:val="28"/>
          <w:szCs w:val="28"/>
        </w:rPr>
        <w:lastRenderedPageBreak/>
        <w:t>from energy consumption and support the development of renewable energy sources with proven and reliable to</w:t>
      </w:r>
      <w:r>
        <w:rPr>
          <w:rFonts w:ascii="Times New Roman" w:eastAsia="Times New Roman" w:hAnsi="Times New Roman" w:cs="Times New Roman"/>
          <w:sz w:val="28"/>
          <w:szCs w:val="28"/>
        </w:rPr>
        <w:t>ols.</w:t>
      </w:r>
    </w:p>
    <w:sectPr w:rsidR="00225D70">
      <w:pgSz w:w="11906" w:h="16838"/>
      <w:pgMar w:top="1134" w:right="850" w:bottom="1134"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mo Science Редакция" w:date="2023-07-04T09:35:00Z" w:initials="">
    <w:p w14:paraId="0000001B" w14:textId="77777777" w:rsidR="00225D70" w:rsidRDefault="00843F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ссылка на инфографику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B" w16cid:durableId="284E9D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3C03"/>
    <w:multiLevelType w:val="multilevel"/>
    <w:tmpl w:val="F78E8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70"/>
    <w:rsid w:val="00225D70"/>
    <w:rsid w:val="0084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E18E5-6C26-4DA8-ABF9-1F38520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245846"/>
    <w:rPr>
      <w:sz w:val="16"/>
      <w:szCs w:val="16"/>
    </w:rPr>
  </w:style>
  <w:style w:type="paragraph" w:styleId="a5">
    <w:name w:val="annotation text"/>
    <w:basedOn w:val="a"/>
    <w:link w:val="a6"/>
    <w:uiPriority w:val="99"/>
    <w:semiHidden/>
    <w:unhideWhenUsed/>
    <w:rsid w:val="00245846"/>
    <w:pPr>
      <w:spacing w:line="240" w:lineRule="auto"/>
    </w:pPr>
    <w:rPr>
      <w:sz w:val="20"/>
      <w:szCs w:val="20"/>
    </w:rPr>
  </w:style>
  <w:style w:type="character" w:customStyle="1" w:styleId="a6">
    <w:name w:val="Текст примечания Знак"/>
    <w:basedOn w:val="a0"/>
    <w:link w:val="a5"/>
    <w:uiPriority w:val="99"/>
    <w:semiHidden/>
    <w:rsid w:val="00245846"/>
    <w:rPr>
      <w:sz w:val="20"/>
      <w:szCs w:val="20"/>
    </w:rPr>
  </w:style>
  <w:style w:type="paragraph" w:styleId="a7">
    <w:name w:val="annotation subject"/>
    <w:basedOn w:val="a5"/>
    <w:next w:val="a5"/>
    <w:link w:val="a8"/>
    <w:uiPriority w:val="99"/>
    <w:semiHidden/>
    <w:unhideWhenUsed/>
    <w:rsid w:val="00245846"/>
    <w:rPr>
      <w:b/>
      <w:bCs/>
    </w:rPr>
  </w:style>
  <w:style w:type="character" w:customStyle="1" w:styleId="a8">
    <w:name w:val="Тема примечания Знак"/>
    <w:basedOn w:val="a6"/>
    <w:link w:val="a7"/>
    <w:uiPriority w:val="99"/>
    <w:semiHidden/>
    <w:rsid w:val="00245846"/>
    <w:rPr>
      <w:b/>
      <w:bCs/>
      <w:sz w:val="20"/>
      <w:szCs w:val="20"/>
    </w:rPr>
  </w:style>
  <w:style w:type="paragraph" w:styleId="a9">
    <w:name w:val="header"/>
    <w:basedOn w:val="a"/>
    <w:link w:val="aa"/>
    <w:uiPriority w:val="99"/>
    <w:unhideWhenUsed/>
    <w:rsid w:val="00091576"/>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091576"/>
  </w:style>
  <w:style w:type="paragraph" w:styleId="ab">
    <w:name w:val="footer"/>
    <w:basedOn w:val="a"/>
    <w:link w:val="ac"/>
    <w:uiPriority w:val="99"/>
    <w:unhideWhenUsed/>
    <w:rsid w:val="00091576"/>
    <w:pPr>
      <w:tabs>
        <w:tab w:val="center" w:pos="4513"/>
        <w:tab w:val="right" w:pos="9026"/>
      </w:tabs>
      <w:spacing w:after="0" w:line="240" w:lineRule="auto"/>
    </w:pPr>
  </w:style>
  <w:style w:type="character" w:customStyle="1" w:styleId="ac">
    <w:name w:val="Нижний колонтитул Знак"/>
    <w:basedOn w:val="a0"/>
    <w:link w:val="ab"/>
    <w:uiPriority w:val="99"/>
    <w:rsid w:val="00091576"/>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Y15KC27E35lPM8g444MkHOheSg==">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2023-07-04T10:32:00Z</dcterms:created>
  <dcterms:modified xsi:type="dcterms:W3CDTF">2023-07-04T10:32:00Z</dcterms:modified>
</cp:coreProperties>
</file>