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pPr w:leftFromText="180" w:rightFromText="180" w:topFromText="0" w:bottomFromText="0" w:vertAnchor="text" w:horzAnchor="text" w:tblpX="-142" w:tblpY="0"/>
        <w:tblW w:w="1077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518"/>
        <w:gridCol w:w="4120"/>
        <w:gridCol w:w="5136"/>
        <w:tblGridChange w:id="0">
          <w:tblGrid>
            <w:gridCol w:w="1518"/>
            <w:gridCol w:w="4120"/>
            <w:gridCol w:w="5136"/>
          </w:tblGrid>
        </w:tblGridChange>
      </w:tblGrid>
      <w:tr>
        <w:trPr>
          <w:cantSplit w:val="0"/>
          <w:tblHeader w:val="0"/>
        </w:trPr>
        <w:tc>
          <w:tcPr/>
          <w:p w:rsidR="00000000" w:rsidDel="00000000" w:rsidP="00000000" w:rsidRDefault="00000000" w:rsidRPr="00000000" w14:paraId="00000002">
            <w:pPr>
              <w:ind w:right="560"/>
              <w:rPr>
                <w:sz w:val="28"/>
                <w:szCs w:val="28"/>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20957</wp:posOffset>
                  </wp:positionH>
                  <wp:positionV relativeFrom="paragraph">
                    <wp:posOffset>43180</wp:posOffset>
                  </wp:positionV>
                  <wp:extent cx="621665" cy="620395"/>
                  <wp:effectExtent b="0" l="0" r="0" t="0"/>
                  <wp:wrapSquare wrapText="bothSides" distB="0" distT="0" distL="114300" distR="114300"/>
                  <wp:docPr id="150663057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21665" cy="620395"/>
                          </a:xfrm>
                          <a:prstGeom prst="rect"/>
                          <a:ln/>
                        </pic:spPr>
                      </pic:pic>
                    </a:graphicData>
                  </a:graphic>
                </wp:anchor>
              </w:drawing>
            </w:r>
          </w:p>
        </w:tc>
        <w:tc>
          <w:tcPr/>
          <w:p w:rsidR="00000000" w:rsidDel="00000000" w:rsidP="00000000" w:rsidRDefault="00000000" w:rsidRPr="00000000" w14:paraId="00000003">
            <w:pPr>
              <w:ind w:right="560"/>
              <w:rPr>
                <w:sz w:val="28"/>
                <w:szCs w:val="28"/>
              </w:rPr>
            </w:pPr>
            <w:r w:rsidDel="00000000" w:rsidR="00000000" w:rsidRPr="00000000">
              <w:rPr>
                <w:sz w:val="28"/>
                <w:szCs w:val="28"/>
                <w:rtl w:val="0"/>
              </w:rPr>
              <w:t xml:space="preserve">Медиацентр атомной</w:t>
            </w:r>
          </w:p>
          <w:p w:rsidR="00000000" w:rsidDel="00000000" w:rsidP="00000000" w:rsidRDefault="00000000" w:rsidRPr="00000000" w14:paraId="00000004">
            <w:pPr>
              <w:ind w:right="560"/>
              <w:rPr>
                <w:sz w:val="28"/>
                <w:szCs w:val="28"/>
              </w:rPr>
            </w:pPr>
            <w:r w:rsidDel="00000000" w:rsidR="00000000" w:rsidRPr="00000000">
              <w:rPr>
                <w:sz w:val="28"/>
                <w:szCs w:val="28"/>
                <w:rtl w:val="0"/>
              </w:rPr>
              <w:t xml:space="preserve">промышленности</w:t>
              <w:br w:type="textWrapping"/>
            </w:r>
            <w:hyperlink r:id="rId8">
              <w:r w:rsidDel="00000000" w:rsidR="00000000" w:rsidRPr="00000000">
                <w:rPr>
                  <w:color w:val="0563c1"/>
                  <w:sz w:val="28"/>
                  <w:szCs w:val="28"/>
                  <w:u w:val="single"/>
                  <w:rtl w:val="0"/>
                </w:rPr>
                <w:t xml:space="preserve">atommedia.online</w:t>
              </w:r>
            </w:hyperlink>
            <w:r w:rsidDel="00000000" w:rsidR="00000000" w:rsidRPr="00000000">
              <w:rPr>
                <w:rtl w:val="0"/>
              </w:rPr>
            </w:r>
          </w:p>
        </w:tc>
        <w:tc>
          <w:tcPr/>
          <w:p w:rsidR="00000000" w:rsidDel="00000000" w:rsidP="00000000" w:rsidRDefault="00000000" w:rsidRPr="00000000" w14:paraId="00000005">
            <w:pPr>
              <w:ind w:right="560"/>
              <w:jc w:val="right"/>
              <w:rPr>
                <w:b w:val="1"/>
                <w:sz w:val="28"/>
                <w:szCs w:val="28"/>
              </w:rPr>
            </w:pPr>
            <w:r w:rsidDel="00000000" w:rsidR="00000000" w:rsidRPr="00000000">
              <w:rPr>
                <w:b w:val="1"/>
                <w:sz w:val="28"/>
                <w:szCs w:val="28"/>
                <w:rtl w:val="0"/>
              </w:rPr>
              <w:t xml:space="preserve">Пресс-релиз</w:t>
            </w:r>
          </w:p>
          <w:p w:rsidR="00000000" w:rsidDel="00000000" w:rsidP="00000000" w:rsidRDefault="00000000" w:rsidRPr="00000000" w14:paraId="00000006">
            <w:pPr>
              <w:ind w:right="560"/>
              <w:jc w:val="right"/>
              <w:rPr>
                <w:sz w:val="28"/>
                <w:szCs w:val="28"/>
              </w:rPr>
            </w:pPr>
            <w:r w:rsidDel="00000000" w:rsidR="00000000" w:rsidRPr="00000000">
              <w:rPr>
                <w:sz w:val="28"/>
                <w:szCs w:val="28"/>
                <w:rtl w:val="0"/>
              </w:rPr>
              <w:t xml:space="preserve">16.07.24</w:t>
            </w:r>
          </w:p>
        </w:tc>
      </w:tr>
    </w:tbl>
    <w:p w:rsidR="00000000" w:rsidDel="00000000" w:rsidP="00000000" w:rsidRDefault="00000000" w:rsidRPr="00000000" w14:paraId="00000007">
      <w:pPr>
        <w:rPr>
          <w:sz w:val="28"/>
          <w:szCs w:val="28"/>
        </w:rPr>
      </w:pPr>
      <w:r w:rsidDel="00000000" w:rsidR="00000000" w:rsidRPr="00000000">
        <w:rPr>
          <w:sz w:val="28"/>
          <w:szCs w:val="28"/>
          <w:rtl w:val="0"/>
        </w:rPr>
        <w:t xml:space="preserve"> </w:t>
      </w:r>
    </w:p>
    <w:p w:rsidR="00000000" w:rsidDel="00000000" w:rsidP="00000000" w:rsidRDefault="00000000" w:rsidRPr="00000000" w14:paraId="00000008">
      <w:pPr>
        <w:jc w:val="center"/>
        <w:rPr>
          <w:b w:val="1"/>
          <w:sz w:val="28"/>
          <w:szCs w:val="28"/>
        </w:rPr>
      </w:pPr>
      <w:r w:rsidDel="00000000" w:rsidR="00000000" w:rsidRPr="00000000">
        <w:rPr>
          <w:b w:val="1"/>
          <w:sz w:val="28"/>
          <w:szCs w:val="28"/>
          <w:rtl w:val="0"/>
        </w:rPr>
        <w:t xml:space="preserve">ОЦКС «Росатома» подписал контракт на оказание инжиниринговых услуг с компанией «Союздонстрой»</w:t>
      </w:r>
    </w:p>
    <w:p w:rsidR="00000000" w:rsidDel="00000000" w:rsidP="00000000" w:rsidRDefault="00000000" w:rsidRPr="00000000" w14:paraId="00000009">
      <w:pPr>
        <w:jc w:val="center"/>
        <w:rPr>
          <w:i w:val="1"/>
        </w:rPr>
      </w:pPr>
      <w:r w:rsidDel="00000000" w:rsidR="00000000" w:rsidRPr="00000000">
        <w:rPr>
          <w:i w:val="1"/>
          <w:rtl w:val="0"/>
        </w:rPr>
        <w:t xml:space="preserve">«Атомный» опыт управления стройкой применят на объектах в Ставрополье</w:t>
      </w:r>
    </w:p>
    <w:p w:rsidR="00000000" w:rsidDel="00000000" w:rsidP="00000000" w:rsidRDefault="00000000" w:rsidRPr="00000000" w14:paraId="0000000A">
      <w:pPr>
        <w:spacing w:line="276" w:lineRule="auto"/>
        <w:rPr/>
      </w:pPr>
      <w:r w:rsidDel="00000000" w:rsidR="00000000" w:rsidRPr="00000000">
        <w:rPr>
          <w:rtl w:val="0"/>
        </w:rPr>
      </w:r>
    </w:p>
    <w:p w:rsidR="00000000" w:rsidDel="00000000" w:rsidP="00000000" w:rsidRDefault="00000000" w:rsidRPr="00000000" w14:paraId="0000000B">
      <w:pPr>
        <w:spacing w:line="276" w:lineRule="auto"/>
        <w:rPr/>
      </w:pPr>
      <w:r w:rsidDel="00000000" w:rsidR="00000000" w:rsidRPr="00000000">
        <w:rPr>
          <w:rtl w:val="0"/>
        </w:rPr>
        <w:t xml:space="preserve">Частное учреждение госкорпорации «Росатом» «Отраслевой центр капитального строительства» (ОЦКС) и компания «Союздонстрой» заключили соглашение на оказание инжиниринговых услуг.</w:t>
      </w:r>
    </w:p>
    <w:p w:rsidR="00000000" w:rsidDel="00000000" w:rsidP="00000000" w:rsidRDefault="00000000" w:rsidRPr="00000000" w14:paraId="0000000C">
      <w:pPr>
        <w:spacing w:line="276" w:lineRule="auto"/>
        <w:rPr/>
      </w:pPr>
      <w:r w:rsidDel="00000000" w:rsidR="00000000" w:rsidRPr="00000000">
        <w:rPr>
          <w:rtl w:val="0"/>
        </w:rPr>
      </w:r>
    </w:p>
    <w:p w:rsidR="00000000" w:rsidDel="00000000" w:rsidP="00000000" w:rsidRDefault="00000000" w:rsidRPr="00000000" w14:paraId="0000000D">
      <w:pPr>
        <w:spacing w:line="276" w:lineRule="auto"/>
        <w:rPr/>
      </w:pPr>
      <w:r w:rsidDel="00000000" w:rsidR="00000000" w:rsidRPr="00000000">
        <w:rPr>
          <w:rtl w:val="0"/>
        </w:rPr>
        <w:t xml:space="preserve">Эксперты ОЦКС окажут услуги строительного контроля при строительстве объекта «Строительство канализационной насосной станции, напорной канализационной линии и очистных сооружений канализации в промышленном районе города Ставрополя», в том числе для комплексной жилищной застройки.</w:t>
      </w:r>
    </w:p>
    <w:p w:rsidR="00000000" w:rsidDel="00000000" w:rsidP="00000000" w:rsidRDefault="00000000" w:rsidRPr="00000000" w14:paraId="0000000E">
      <w:pPr>
        <w:spacing w:line="276" w:lineRule="auto"/>
        <w:rPr/>
      </w:pPr>
      <w:r w:rsidDel="00000000" w:rsidR="00000000" w:rsidRPr="00000000">
        <w:rPr>
          <w:rtl w:val="0"/>
        </w:rPr>
      </w:r>
    </w:p>
    <w:p w:rsidR="00000000" w:rsidDel="00000000" w:rsidP="00000000" w:rsidRDefault="00000000" w:rsidRPr="00000000" w14:paraId="0000000F">
      <w:pPr>
        <w:spacing w:line="276" w:lineRule="auto"/>
        <w:rPr/>
      </w:pPr>
      <w:r w:rsidDel="00000000" w:rsidR="00000000" w:rsidRPr="00000000">
        <w:rPr>
          <w:rtl w:val="0"/>
        </w:rPr>
        <w:t xml:space="preserve">Основная задача ОЦКС на данном проекте – управление строительством объекта, в том числе обеспечение разработки, согласования и контроль реализации объектных и детальных графиков работ выполнения строительно-монтажных работ (СМР), включая поставку оборудования, шефмонтаж, пуско-наладочные работы (ПНР), а также выявление отклонений от сроков выполнения работ, коллизий в графиках, участие в разработке планов компенсирующих мероприятий, мониторинг реализации рисков, обеспечение строительства проектной и разрешительной документацией, управление стоимостью сооружения объекта, предоставление заказчику информации о реализации проекта.</w:t>
      </w:r>
    </w:p>
    <w:p w:rsidR="00000000" w:rsidDel="00000000" w:rsidP="00000000" w:rsidRDefault="00000000" w:rsidRPr="00000000" w14:paraId="00000010">
      <w:pPr>
        <w:spacing w:line="276" w:lineRule="auto"/>
        <w:rPr/>
      </w:pPr>
      <w:r w:rsidDel="00000000" w:rsidR="00000000" w:rsidRPr="00000000">
        <w:rPr>
          <w:rtl w:val="0"/>
        </w:rPr>
      </w:r>
    </w:p>
    <w:p w:rsidR="00000000" w:rsidDel="00000000" w:rsidP="00000000" w:rsidRDefault="00000000" w:rsidRPr="00000000" w14:paraId="00000011">
      <w:pPr>
        <w:spacing w:line="276" w:lineRule="auto"/>
        <w:rPr/>
      </w:pPr>
      <w:r w:rsidDel="00000000" w:rsidR="00000000" w:rsidRPr="00000000">
        <w:rPr>
          <w:rtl w:val="0"/>
        </w:rPr>
        <w:t xml:space="preserve">«Наша команда экспертов обладает уникальным опытом управления проектами строительства в атомной отрасли, в том числе с применением лучших практик в области управления стоимостью и цифровизации стройки. Сегодня этот опыт высоко востребован и на неатомных объектах», – отметил директор ОЦКС Пётр Степаев.</w:t>
      </w:r>
    </w:p>
    <w:p w:rsidR="00000000" w:rsidDel="00000000" w:rsidP="00000000" w:rsidRDefault="00000000" w:rsidRPr="00000000" w14:paraId="00000012">
      <w:pPr>
        <w:spacing w:line="276" w:lineRule="auto"/>
        <w:rPr/>
      </w:pPr>
      <w:r w:rsidDel="00000000" w:rsidR="00000000" w:rsidRPr="00000000">
        <w:rPr>
          <w:rtl w:val="0"/>
        </w:rPr>
      </w:r>
    </w:p>
    <w:p w:rsidR="00000000" w:rsidDel="00000000" w:rsidP="00000000" w:rsidRDefault="00000000" w:rsidRPr="00000000" w14:paraId="00000013">
      <w:pPr>
        <w:spacing w:line="276" w:lineRule="auto"/>
        <w:rPr>
          <w:b w:val="1"/>
        </w:rPr>
      </w:pPr>
      <w:r w:rsidDel="00000000" w:rsidR="00000000" w:rsidRPr="00000000">
        <w:rPr>
          <w:b w:val="1"/>
          <w:rtl w:val="0"/>
        </w:rPr>
        <w:t xml:space="preserve">Справка:</w:t>
      </w:r>
    </w:p>
    <w:p w:rsidR="00000000" w:rsidDel="00000000" w:rsidP="00000000" w:rsidRDefault="00000000" w:rsidRPr="00000000" w14:paraId="00000014">
      <w:pPr>
        <w:spacing w:line="276" w:lineRule="auto"/>
        <w:rPr/>
      </w:pPr>
      <w:r w:rsidDel="00000000" w:rsidR="00000000" w:rsidRPr="00000000">
        <w:rPr>
          <w:rtl w:val="0"/>
        </w:rPr>
      </w:r>
    </w:p>
    <w:p w:rsidR="00000000" w:rsidDel="00000000" w:rsidP="00000000" w:rsidRDefault="00000000" w:rsidRPr="00000000" w14:paraId="00000015">
      <w:pPr>
        <w:spacing w:line="276" w:lineRule="auto"/>
        <w:rPr/>
      </w:pPr>
      <w:r w:rsidDel="00000000" w:rsidR="00000000" w:rsidRPr="00000000">
        <w:rPr>
          <w:rtl w:val="0"/>
        </w:rPr>
        <w:t xml:space="preserve">Отраслевой центр капитального строительства  «Росатома» (ОЦКС «Росатома») является структурным подразделением «Росатома» в форме частного учреждения госкорпорации. Основные задачи ОЦКС  «Росатома» по управлению капитальным строительством в атомной отрасли – это обеспечение прозрачности управления строительством и капитальными вложениями; разработка системы управления стоимостью и сроками сооружения объектов капитальных вложений; совершенствование механизмов повышения эффективности капитального строительства и обеспечения надлежащего уровня качества возводимых объектов. ОЦКС является уполномоченной организацией госкорпорации «Росатом» в части выполнения функций контролера и регулятора в сфере капитального строительства. ОЦКС осуществляет функции строительного контроля более 10 лет, среди проектов компании – сооружение павильона «Атом» на ВДНХ; «Расширение и реконструкция Национального медицинского исследовательского центра ФГБУ «НМИЦ ДГОИ им. Дмитрия Рогачева» Минздрава России»; «Строительство стендового комплекса по испытаниям технологий и оборудования для средне- и крупнотоннажного производства сжиженного природного газа и иных целей атомной промышленности» и другие.</w:t>
      </w:r>
    </w:p>
    <w:p w:rsidR="00000000" w:rsidDel="00000000" w:rsidP="00000000" w:rsidRDefault="00000000" w:rsidRPr="00000000" w14:paraId="00000016">
      <w:pPr>
        <w:spacing w:line="276" w:lineRule="auto"/>
        <w:rPr/>
      </w:pPr>
      <w:r w:rsidDel="00000000" w:rsidR="00000000" w:rsidRPr="00000000">
        <w:rPr>
          <w:rtl w:val="0"/>
        </w:rPr>
      </w:r>
    </w:p>
    <w:p w:rsidR="00000000" w:rsidDel="00000000" w:rsidP="00000000" w:rsidRDefault="00000000" w:rsidRPr="00000000" w14:paraId="00000017">
      <w:pPr>
        <w:spacing w:line="276" w:lineRule="auto"/>
        <w:rPr/>
      </w:pPr>
      <w:r w:rsidDel="00000000" w:rsidR="00000000" w:rsidRPr="00000000">
        <w:rPr>
          <w:rtl w:val="0"/>
        </w:rPr>
        <w:t xml:space="preserve">«СоюзДонСтрой» – компания, специализирующаяся в области бестраншейного строительства сетей и переходов через искусственные и естественные сооружения практически всеми существующими способами (микротоннелирование, горизонтальное направленное бурение (ГНБ), горизонтальное шнековое бурение (ГШБ), струйная цементация грунтов (Jet Grouting, устройство буронабивных свай). Компания предоставляет весь комплекс услуг по проектированию, строительству и сдачи объектов в эксплуатацию.</w:t>
      </w:r>
    </w:p>
    <w:p w:rsidR="00000000" w:rsidDel="00000000" w:rsidP="00000000" w:rsidRDefault="00000000" w:rsidRPr="00000000" w14:paraId="00000018">
      <w:pPr>
        <w:spacing w:line="276" w:lineRule="auto"/>
        <w:rPr/>
      </w:pPr>
      <w:r w:rsidDel="00000000" w:rsidR="00000000" w:rsidRPr="00000000">
        <w:rPr>
          <w:rtl w:val="0"/>
        </w:rPr>
      </w:r>
    </w:p>
    <w:p w:rsidR="00000000" w:rsidDel="00000000" w:rsidP="00000000" w:rsidRDefault="00000000" w:rsidRPr="00000000" w14:paraId="00000019">
      <w:pPr>
        <w:spacing w:line="276" w:lineRule="auto"/>
        <w:rPr>
          <w:sz w:val="28"/>
          <w:szCs w:val="28"/>
        </w:rPr>
      </w:pPr>
      <w:r w:rsidDel="00000000" w:rsidR="00000000" w:rsidRPr="00000000">
        <w:rPr>
          <w:rtl w:val="0"/>
        </w:rPr>
        <w:t xml:space="preserve">Ускоренное развитие строительной отрасли, как и других секторов отечественной экономики, напрямую зависит от темпов перехода на современную технологическую основу. «Росатом» принимает участие в развитии и внедрении механизмов, призванных способствовать прозрачности управления строительством и капитальными вложениями; внедрении системы управления стоимостью и сроками сооружения объектов капитальных вложений.</w:t>
      </w:r>
      <w:r w:rsidDel="00000000" w:rsidR="00000000" w:rsidRPr="00000000">
        <w:rPr>
          <w:rtl w:val="0"/>
        </w:rPr>
      </w:r>
    </w:p>
    <w:sectPr>
      <w:footerReference r:id="rId9" w:type="default"/>
      <w:pgSz w:h="15840" w:w="12240" w:orient="portrait"/>
      <w:pgMar w:bottom="1134" w:top="45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color w:val="595959"/>
      </w:rPr>
    </w:pPr>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i w:val="1"/>
        <w:color w:val="595959"/>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Calibri" w:cs="Calibri" w:eastAsia="Calibri" w:hAnsi="Calibri"/>
        <w:sz w:val="24"/>
        <w:szCs w:val="24"/>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C56287"/>
    <w:rPr>
      <w:color w:val="0563c1" w:themeColor="hyperlink"/>
      <w:u w:val="single"/>
    </w:rPr>
  </w:style>
  <w:style w:type="character" w:styleId="UnresolvedMention">
    <w:name w:val="Unresolved Mention"/>
    <w:basedOn w:val="DefaultParagraphFont"/>
    <w:uiPriority w:val="99"/>
    <w:semiHidden w:val="1"/>
    <w:unhideWhenUsed w:val="1"/>
    <w:rsid w:val="00C56287"/>
    <w:rPr>
      <w:color w:val="605e5c"/>
      <w:shd w:color="auto" w:fill="e1dfdd" w:val="clear"/>
    </w:rPr>
  </w:style>
  <w:style w:type="paragraph" w:styleId="Header">
    <w:name w:val="header"/>
    <w:basedOn w:val="Normal"/>
    <w:link w:val="HeaderChar"/>
    <w:uiPriority w:val="99"/>
    <w:unhideWhenUsed w:val="1"/>
    <w:rsid w:val="00C56287"/>
    <w:pPr>
      <w:tabs>
        <w:tab w:val="center" w:pos="4680"/>
        <w:tab w:val="right" w:pos="9360"/>
      </w:tabs>
    </w:pPr>
  </w:style>
  <w:style w:type="character" w:styleId="HeaderChar" w:customStyle="1">
    <w:name w:val="Header Char"/>
    <w:basedOn w:val="DefaultParagraphFont"/>
    <w:link w:val="Header"/>
    <w:uiPriority w:val="99"/>
    <w:rsid w:val="00C56287"/>
  </w:style>
  <w:style w:type="paragraph" w:styleId="Footer">
    <w:name w:val="footer"/>
    <w:basedOn w:val="Normal"/>
    <w:link w:val="FooterChar"/>
    <w:uiPriority w:val="99"/>
    <w:unhideWhenUsed w:val="1"/>
    <w:rsid w:val="00C56287"/>
    <w:pPr>
      <w:tabs>
        <w:tab w:val="center" w:pos="4680"/>
        <w:tab w:val="right" w:pos="9360"/>
      </w:tabs>
    </w:pPr>
  </w:style>
  <w:style w:type="character" w:styleId="FooterChar" w:customStyle="1">
    <w:name w:val="Footer Char"/>
    <w:basedOn w:val="DefaultParagraphFont"/>
    <w:link w:val="Footer"/>
    <w:uiPriority w:val="99"/>
    <w:rsid w:val="00C56287"/>
  </w:style>
  <w:style w:type="character" w:styleId="FollowedHyperlink">
    <w:name w:val="FollowedHyperlink"/>
    <w:basedOn w:val="DefaultParagraphFont"/>
    <w:uiPriority w:val="99"/>
    <w:semiHidden w:val="1"/>
    <w:unhideWhenUsed w:val="1"/>
    <w:rsid w:val="00C56287"/>
    <w:rPr>
      <w:color w:val="954f72" w:themeColor="followedHyperlink"/>
      <w:u w:val="single"/>
    </w:rPr>
  </w:style>
  <w:style w:type="table" w:styleId="TableGrid">
    <w:name w:val="Table Grid"/>
    <w:basedOn w:val="TableNormal"/>
    <w:uiPriority w:val="39"/>
    <w:rsid w:val="000776E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k4emh7nWJlM3iOsxF+Df+Uth2w==">CgMxLjA4AHIhMVZvQ3JSM3p3dURfRUxpZnk3MFJuX1kwTmNxUy0zQzRP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2023-11-17T07:32:00Z</dcterms:created>
  <dc:creator>b v</dc:creator>
</cp:coreProperties>
</file>