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16.09.24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Director General Alexey Likhachev, IAEA Director General Rafael Grossi hold meeting</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parties discussed key issues of current and future cooperation</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Immediately following the opening of the 68th session of the IAEA General Conference, Rosatom Director General Alexey Likhachev had another meeting with IAEA Director General Rafael Grossi.</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As a follow-up to their regular contacts, Alexey Likhachev and Rafael Grossi briefly reviewed the main issues of current and prospective cooperation between Russia and the IAEA, as well as industry-specific international events for the coming months. In particular, events related to the topics of closing the nuclear fuel cycle and small modular reactors, which the Rosatom Director General highlighted in detail in his speech at the General Conference, were touched upon.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main focus, as in all recent negotiations, was on ensuring safety of nuclear facilities. Both sides consider this task as an absolute priority.</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Alexey Likhachev and Rafael Grossi touched base on the situation around the Zaporozhskaya NPP (ZNPP) and the Kursk NPP. It was confirmed that, despite the known differences in the positions of the parties, Russia and the IAEA Secretariat work on these issues in parallel.</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Joint work, including in the context of maintaining the IAEA permanent presence at the ZNPP site, will be continued.</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sz w:val="28"/>
          <w:szCs w:val="28"/>
        </w:rPr>
      </w:pPr>
      <w:r w:rsidDel="00000000" w:rsidR="00000000" w:rsidRPr="00000000">
        <w:rPr>
          <w:rtl w:val="0"/>
        </w:rPr>
        <w:t xml:space="preserve">Contacts in the interdepartmental format will also be continued.</w:t>
      </w:r>
      <w:r w:rsidDel="00000000" w:rsidR="00000000" w:rsidRPr="00000000">
        <w:rPr>
          <w:rtl w:val="0"/>
        </w:rPr>
      </w:r>
    </w:p>
    <w:p w:rsidR="00000000" w:rsidDel="00000000" w:rsidP="00000000" w:rsidRDefault="00000000" w:rsidRPr="00000000" w14:paraId="00000019">
      <w:pPr>
        <w:ind w:right="560"/>
        <w:rPr>
          <w:sz w:val="28"/>
          <w:szCs w:val="28"/>
        </w:rPr>
      </w:pPr>
      <w:r w:rsidDel="00000000" w:rsidR="00000000" w:rsidRPr="00000000">
        <w:rPr>
          <w:rtl w:val="0"/>
        </w:rPr>
      </w:r>
    </w:p>
    <w:p w:rsidR="00000000" w:rsidDel="00000000" w:rsidP="00000000" w:rsidRDefault="00000000" w:rsidRPr="00000000" w14:paraId="0000001A">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QkKi0+PvNp2R2uwi9VWrZAgGuw==">CgMxLjA4AHIhMTJueHg3aE1qOG9hRWVBemZjZmtSRGFqbnFwMVVCV2FV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