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региональной сессии школы Международного проекта по инновационным ядерным реакторам и топливным циклам МАГАТЭ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представители Армении, Беларуси, Казахстана, Таджикистана, Узбекистана и других стран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региональной сессии школы Международного проекта по инновационным ядерным реакторам и топливным циклам (ИНПРО) МАГАТЭ, которая завершилась 7 июня в Ташкенте (Республика Узбекистан), на базе филиала Национального исследовательского ядерного университета «МИФИ» (НИЯУ МИФИ). Принимающей стороной выступил Институт ядерной физики Академии наук Республики Узбекистан.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школы стали руководители и сотрудники министерств, ведомств и организаций атомной отрасли в области стратегического планирования ядерно-энергетических систем (ЯЭС) государств — участников Содружества Независимых Государств: Армении, Беларуси, Казахстана, России, Таджикистана, Узбекистана, а также Монголии.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Сессия была посвящена стратегическому планированию в целях устойчивого развития ядерной энергетики. В рамках школы были организованы практические занятия по применению инструментов ИНПРО для стратегического планирования развития ядерной генерации.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АО «Русатом Сервис» (предприятие электроэнергетического дивизиона госкорпорации «Росатом», назначено Экономическим советом СНГ базовой организацией на пространстве СНГ по содействию в развитии национальных ядерных инфраструктур) и АО «ОКБМ Африкантов» приняли участие в обсуждении взаимосвязи планирования ядерной энергетики и стратегии устойчивого развития. В частности, Юлия Черняховская, заместитель директора по подготовке кадров и по ядерной инфраструктуре филиала АО «Русатом Сервис» в Венгрии, выступила с сообщениями о роли атомной энергетики в контексте целей устойчивого развития и «зеленой повестки», а также экономики мегапроектов в атомной отрасли. «По мере роста численности населения усугубляется диспропорция в уровне жизни в разных регионах мира. Без расширения доли атомной энергетики в мире, в том числе в странах — новичках атомной отрасли, человечество не может достичь цели устойчивого развития. Помощь МАГАТЭ и „Росатома“ в области ядерной инфраструктуры — это основа для безопасной и экономичной реализации проектов новых АЭС как большой, так и малой мощности», — сказала 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школы был организован технический тур в Институт ядерной физики Академии наук Узбекистана. Участники технического тура посетили комплекс на базе ускорителя электронов и ядерный реактор.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от имени Российской Федерации участвует в нескольких международных инновационных исследовательских проектах, в том числе в Международном проекте по инновационным ядерным реакторам и топливным циклам (ИНПРО). Он предполагает разработку технических документов МАГАТЭ высокого уровня, которые фиксируют наилучшие мировые практики в области современных технологий ядерного топливного цикла.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миру: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www.rusatomservice.ru.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Акционерное общество «Опытное конструкторское бюро машиностроения имени И. И. Африкантова» (АО «ОКБМ Африкантов», входит в состав дочерних компаний АО «Атомэнергомаш» — машиностроительного холдинга госкорпорации «Росатом») — крупный научно-производственный центр атомного машиностроения, располагающий многопрофильным конструкторским коллективом, собственной исследовательской, экспериментальной и производственной базой. Научно-производственный потенциал предприятия позволяет выполнять весь комплекс работ по созданию различных типов реакторных установок и оборудования для них.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EJO3JuKVWJBB7MTRiBc0dT1XA==">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