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18.06.24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выступит партнером проведения выставки «Иннопром-2024»</w:t>
      </w:r>
    </w:p>
    <w:p w:rsidR="00000000" w:rsidDel="00000000" w:rsidP="00000000" w:rsidRDefault="00000000" w:rsidRPr="00000000" w14:paraId="00000009">
      <w:pPr>
        <w:jc w:val="center"/>
        <w:rPr>
          <w:i w:val="1"/>
        </w:rPr>
      </w:pPr>
      <w:r w:rsidDel="00000000" w:rsidR="00000000" w:rsidRPr="00000000">
        <w:rPr>
          <w:i w:val="1"/>
          <w:rtl w:val="0"/>
        </w:rPr>
        <w:t xml:space="preserve">Промышленникам будут представлены возможности кооперации с госкорпорацией</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Госкорпорация «Росатом» выступит партнером проведения Международной промышленной выставки «Иннопром-2024», которая пройдет 8–11 июля в Екатеринбурге. Тема форума в этом году — «Технологическое партнерство: формируя образ будущего».</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«Росатом» представит на мероприятии широкий спектр суверенных промышленных решений как основы формирования эффективных альянсов с целью развития российских предприятий. В частности, планируется продемонстрировать продукты и услуги новых бизнесов госкорпорации, которые являются высококонкурентными аналогами продуктов зарубежных производителей.</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Ожидается, что в «Иннопроме» примут участие топ-менеджеры госкорпорации, в том числе первый заместитель генерального директора — директор блока по развитию и международному бизнесу государственной корпорации «Росатом» Кирилл Комаров, директор по цифровизации «Росатома» Екатерина Солнцева, директор по информационной инфраструктуре «Росатома» Евгений Абакумов, директор по технологическому развитию «Росатома» Андрей Шевченко, президент АО «ТВЭЛ» Наталья Никипелова и другие.</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 рамках основной деловой программы «Росатом» проведет сессию «Партнерство для продвижения на международный рынок: побеждаем, объединяя усилия», участники которой обсудят возможности продвижения компаний малого и среднего бизнеса за рубежом в рамках сотрудничества с крупными госкорпорациями, успешно работающими на мировом рынке, а также создание экспортно-импортных коопераций в целом. Особое внимание будет уделено возможностям цифровизации промышленных производств в различных отраслях, а также построению партнерств для продвижения новых решений госкорпорации на международный рынок.</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В цифровом направлении будут обсуждаться технологии и решения, составляющие основу современного «цифрового предприятия», в том числе промышленный искусственный интеллект, роботизация бизнес-процессов, системы полного жизненного цикла и математическое моделирование. На сессии «Росатома» «Российский рынок CAE-систем: перспектива использования новейших технологий при проектировании и создании высокотехнологичных изделий» будет обсуждаться расширение сотрудничества российских разработчиков в рамках обеспечения технологической независимости российских предприятий в сфере применения ПО класса CAE. В частности, будут определены направления внедрения ПО данного класса на период 2025–2030 годов.</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Отдельное мероприятие будет посвящено теме искусственного интеллекта. На сессии «Цифровое ускорение: ИИ и роботизация бизнес-процессов для эффективности промышленных предприятий» будут обсуждаться подходы к прорывному использованию промышленных цифровых решений на основе искусственного интеллекта (ИИ) для конкурентоспособности предприятий. В том числе будут рассмотрены тренды технологического развития, а также российская практика в этой области. Эксперты выработают подходы к масштабированию успешных решений для кумулятивного эффекта в индустриальной цифре.</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Ожидается, что в рамках форума будут подписаны соглашения о сотрудничестве «Росатома» с рядом партнеров в области электротранспорта, новых материалов и аддитивных технологий.</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Выставочная экспозиция «Росатома» будет посвящена рывку госкорпорации в будущее. Ее центральным элементом станет арт-инсталляция «Город будущего», визуализирующая передовые компетенции, которыми обладает «Росатом», в девяти направлениях: «Зеленая энергетика», «Экологические решения», «Технологии здоровья», «Логистика и транспорт», «Ресурсы и топливо», «Цифровые решения», «Новые технологии и материалы», «Наука и инновации» и «Образование». На стенде также будут размещен макет цифрового промышленного производства с применением системы предиктивной аналитики «Росатома» «АтомМайнд». В зоне рабочих мест посетители смогут увидеть применение цифровых продуктов собственной разработки госкорпорации — «Логос», «Сарус», «Атом.РИТА» и других.</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b w:val="1"/>
        </w:rPr>
      </w:pPr>
      <w:r w:rsidDel="00000000" w:rsidR="00000000" w:rsidRPr="00000000">
        <w:rPr>
          <w:b w:val="1"/>
          <w:rtl w:val="0"/>
        </w:rPr>
        <w:t xml:space="preserve"> Cправка:</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«Иннопром» — международная промышленная выставка, которая с 2010 года ежегодно проводится в Екатеринбурге. Организуется при поддержке Министерства промышленности и торговли Российский Федерации и правительства Свердловской области. Является авторитетной индустриальной, торговой и экспортной площадкой России. Выступает полигоном для обсуждения технологического развития и промышленной политики в целом. В прошлом году тема форума была сформулирована так: «Устойчивое производство: стратегии обновления». По данным организаторов, выставку посетили более 35 международных делегаций и 25 региональных делегаций. Было представлено около 700 компаний, еще 400 — в зоне российско-китайского «Экспо». Свои разработки на площадке в «Экспо», помимо России, представили Беларусь, Казахстан, Армения, Кыр</w:t>
      </w:r>
      <w:r w:rsidDel="00000000" w:rsidR="00000000" w:rsidRPr="00000000">
        <w:rPr>
          <w:rtl w:val="0"/>
        </w:rPr>
        <w:t xml:space="preserve">гызстан</w:t>
      </w:r>
      <w:r w:rsidDel="00000000" w:rsidR="00000000" w:rsidRPr="00000000">
        <w:rPr>
          <w:rtl w:val="0"/>
        </w:rPr>
        <w:t xml:space="preserve">, Таджикистан, Узбекистан и Китай.</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450 предприятий и организаций, в которых работает 350 тыс. человек. С 2018 года реализует единую цифровую стратегию (ЕЦС), предполагающую многоплановую работу по ряду направлений. В направлении «Участие в цифровизации РФ» является центром компетенций федерального проекта «Цифровые технологии» нацпрограммы «Цифровая экономика РФ»; выступает компанией-лидером реализации правительственной дорожной карты по развитию высокотехнологичной области «Новое индустриальное программное обеспечение»; с 2021 года реализует первый российский проект по импортозамещению целого класса промышленного ПО — систем инженерного анализа и математического моделирования (САЕ-класс), с 2022 года выступает координатором проекта по созданию российской PLM-системы тяжелого класса. В направлении «Цифровые продукты» разрабатывает и выводит на рынок цифровые продукты для промышленных предприятий — в портфеле «Росатома» более 60 цифровых продуктов.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числе которых технологии работы с данными, интернет вещей, производственные технологии, виртуальная и дополненная реальность, нейротехнологии и искусственный интеллект, технологии беспроводной связи, робототехника и сенсорика и др.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и конкурсы профессионального мастерства по теме цифровизации.</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w:t>
      </w:r>
      <w:r w:rsidDel="00000000" w:rsidR="00000000" w:rsidRPr="00000000">
        <w:rPr>
          <w:rtl w:val="0"/>
        </w:rPr>
        <w:t xml:space="preserve">конкурентоспособность </w:t>
      </w:r>
      <w:r w:rsidDel="00000000" w:rsidR="00000000" w:rsidRPr="00000000">
        <w:rPr>
          <w:rtl w:val="0"/>
        </w:rPr>
        <w:t xml:space="preserve">российской промышленности.</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 </w:t>
      </w:r>
    </w:p>
    <w:p w:rsidR="00000000" w:rsidDel="00000000" w:rsidP="00000000" w:rsidRDefault="00000000" w:rsidRPr="00000000" w14:paraId="00000024">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LrCvTPPB5vMVRUIOorjhzd8m6Q==">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