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20.09.24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Atommash starts production of reactor equipment for the El Dabaa NPP Unit 2 (Egypt)</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Some 12,500 tons of equipment will be delivered to the construction site by the machine manufacturers</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Specialists of Atommash (Rosatom's Machine Building Division) have started production of the reactor vessel for the second unit of the El Dabaa NPP, which is being built in Egypt according to the latest Russian design. The blanks for this project were cast at the Metallurgical Plant of the Machine Building Division in St. Petersburg and delivered to the Volgodonsk production complex, where they would be assembled into the reactor vessel.</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blanks have passed the incoming inspection and were in the first operations of the production cycle. Shells and flanges in the area of the reactor vessel nozzles are machined for subsequent corrosion protection.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reactor equipment for the first unit of the El Dabaa NPP is being manufactured at the same time. Soon the specialists of Atommash will start the assembly welding of nozzles of the steam generator casing and the subsequent enlarging of the blanks into half-hulls.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Petrozavodskmash, an engineering plant in Karelia, manufactures the main circulating pump unit (MCPU) casings that circulate coolant in the reactor's primary circuit. In addition to pump casings for the El Dabaa NPP, the plant will manufacture clad pipes, reactor coolant pipe (RCP) assemblies, and a pressurizer.</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In total, the Machine Building Division's production facilities will manufacture and deliver about 12,500 tons of equipment to the construction site of the first NPP in Egypt. These are nuclear reactors with internals and upper units, sets of steam generators, MCPU and RCP vessels, equipment for active and passive protection systems of nuclear reactors and pressurizers.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b w:val="1"/>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Rosatom's Machine Building Division unites research, engineering, and production organizations that create complex technical solutions for the nuclear, thermal, gas, and petrochemical industries, the specialty steel market, and other industries. It is currently a complete supplier of reactor island and machine room equipment for PWR reactors of NPP, the world's only manufacturer of industrial fast nuclear reactors (FNR).   </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El Dabaa nuclear power plant is Egypt's first nuclear power plant. It will consist of 4 units with VVER-1200 PWR reactors. In November 2015, Russia and Egypt signed an intergovernmental agreement on cooperation in the construction and operation of the first Egyptian nuclear power plant using Russian technologies. In accordance with the signed contracts, Rosatom will supply Russian nuclear fuel for the entire life cycle of the nuclear power plant, train personnel and assist the Egyptian partners in the operation and maintenance of the El Dabaa NPP during the first 10 years of the plant's operation.</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t xml:space="preserve">Russia emphasizes cooperation with friendly countries and consistently develops international trade and economic relations. The Russian economy is expanding its export potential as a supplier of goods, services and raw materials all over the world. Major international energy projects also continue to be implemented. Rosatom and its enterprises play an active role in helping to make this happen.</w:t>
      </w: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VobmoCT1TcI2CWvzmLsNGUZqw==">CgMxLjA4AHIhMVpmdG1pajhGRWxpc3BqLXR4akx6TE5lb1VWYXc1OWhz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