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303" w:rsidRDefault="00575303">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c"/>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03"/>
        <w:gridCol w:w="4250"/>
        <w:gridCol w:w="5021"/>
      </w:tblGrid>
      <w:tr w:rsidR="00575303">
        <w:tc>
          <w:tcPr>
            <w:tcW w:w="1503" w:type="dxa"/>
          </w:tcPr>
          <w:p w:rsidR="00575303" w:rsidRDefault="009867FD">
            <w:pPr>
              <w:ind w:right="560"/>
              <w:rPr>
                <w:sz w:val="28"/>
                <w:szCs w:val="28"/>
              </w:rPr>
            </w:pPr>
            <w:r>
              <w:rPr>
                <w:noProof/>
                <w:lang w:val="ru-RU"/>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278893</wp:posOffset>
                  </wp:positionV>
                  <wp:extent cx="621665" cy="619760"/>
                  <wp:effectExtent l="0" t="0" r="0" b="0"/>
                  <wp:wrapSquare wrapText="bothSides" distT="0" distB="0" distL="114300" distR="114300"/>
                  <wp:docPr id="15066305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19760"/>
                          </a:xfrm>
                          <a:prstGeom prst="rect">
                            <a:avLst/>
                          </a:prstGeom>
                          <a:ln/>
                        </pic:spPr>
                      </pic:pic>
                    </a:graphicData>
                  </a:graphic>
                </wp:anchor>
              </w:drawing>
            </w:r>
          </w:p>
        </w:tc>
        <w:tc>
          <w:tcPr>
            <w:tcW w:w="4250" w:type="dxa"/>
          </w:tcPr>
          <w:p w:rsidR="00575303" w:rsidRDefault="00575303">
            <w:pPr>
              <w:ind w:right="560"/>
              <w:rPr>
                <w:sz w:val="28"/>
                <w:szCs w:val="28"/>
              </w:rPr>
            </w:pPr>
          </w:p>
          <w:p w:rsidR="00575303" w:rsidRDefault="009867FD">
            <w:pPr>
              <w:ind w:right="560"/>
              <w:rPr>
                <w:sz w:val="28"/>
                <w:szCs w:val="28"/>
              </w:rPr>
            </w:pPr>
            <w:proofErr w:type="spellStart"/>
            <w:r>
              <w:rPr>
                <w:sz w:val="28"/>
                <w:szCs w:val="28"/>
              </w:rPr>
              <w:t>Rosatom</w:t>
            </w:r>
            <w:proofErr w:type="spellEnd"/>
            <w:r>
              <w:rPr>
                <w:sz w:val="28"/>
                <w:szCs w:val="28"/>
              </w:rPr>
              <w:t xml:space="preserve"> digital </w:t>
            </w:r>
          </w:p>
          <w:p w:rsidR="00575303" w:rsidRDefault="009867FD">
            <w:pPr>
              <w:ind w:right="560"/>
              <w:rPr>
                <w:sz w:val="28"/>
                <w:szCs w:val="28"/>
              </w:rPr>
            </w:pPr>
            <w:r>
              <w:rPr>
                <w:sz w:val="28"/>
                <w:szCs w:val="28"/>
              </w:rPr>
              <w:t xml:space="preserve">press office  </w:t>
            </w:r>
            <w:r>
              <w:rPr>
                <w:sz w:val="28"/>
                <w:szCs w:val="28"/>
              </w:rPr>
              <w:br/>
            </w:r>
            <w:hyperlink r:id="rId8">
              <w:r>
                <w:rPr>
                  <w:color w:val="0563C1"/>
                  <w:sz w:val="28"/>
                  <w:szCs w:val="28"/>
                  <w:u w:val="single"/>
                </w:rPr>
                <w:t>https://atommedia.online/en/</w:t>
              </w:r>
            </w:hyperlink>
            <w:r>
              <w:rPr>
                <w:sz w:val="28"/>
                <w:szCs w:val="28"/>
              </w:rPr>
              <w:t xml:space="preserve"> </w:t>
            </w:r>
          </w:p>
        </w:tc>
        <w:tc>
          <w:tcPr>
            <w:tcW w:w="5021" w:type="dxa"/>
          </w:tcPr>
          <w:p w:rsidR="00575303" w:rsidRDefault="00575303">
            <w:pPr>
              <w:ind w:right="560"/>
              <w:jc w:val="right"/>
              <w:rPr>
                <w:b/>
                <w:sz w:val="28"/>
                <w:szCs w:val="28"/>
              </w:rPr>
            </w:pPr>
          </w:p>
          <w:p w:rsidR="00575303" w:rsidRDefault="009867FD">
            <w:pPr>
              <w:ind w:right="560"/>
              <w:jc w:val="right"/>
              <w:rPr>
                <w:b/>
                <w:sz w:val="28"/>
                <w:szCs w:val="28"/>
              </w:rPr>
            </w:pPr>
            <w:r>
              <w:rPr>
                <w:b/>
                <w:sz w:val="28"/>
                <w:szCs w:val="28"/>
              </w:rPr>
              <w:t>Announcement</w:t>
            </w:r>
          </w:p>
          <w:p w:rsidR="00575303" w:rsidRDefault="009867FD">
            <w:pPr>
              <w:ind w:right="560"/>
              <w:jc w:val="right"/>
              <w:rPr>
                <w:sz w:val="28"/>
                <w:szCs w:val="28"/>
              </w:rPr>
            </w:pPr>
            <w:r>
              <w:rPr>
                <w:sz w:val="28"/>
                <w:szCs w:val="28"/>
              </w:rPr>
              <w:t>11.03.24</w:t>
            </w:r>
          </w:p>
        </w:tc>
      </w:tr>
    </w:tbl>
    <w:p w:rsidR="00575303" w:rsidRDefault="009867FD">
      <w:pPr>
        <w:ind w:left="720"/>
        <w:rPr>
          <w:sz w:val="28"/>
          <w:szCs w:val="28"/>
        </w:rPr>
      </w:pPr>
      <w:r>
        <w:rPr>
          <w:sz w:val="28"/>
          <w:szCs w:val="28"/>
        </w:rPr>
        <w:t xml:space="preserve"> </w:t>
      </w:r>
    </w:p>
    <w:p w:rsidR="00575303" w:rsidRDefault="00575303">
      <w:pPr>
        <w:ind w:left="720"/>
        <w:rPr>
          <w:sz w:val="28"/>
          <w:szCs w:val="28"/>
        </w:rPr>
      </w:pPr>
    </w:p>
    <w:p w:rsidR="00575303" w:rsidRDefault="009867FD">
      <w:pPr>
        <w:ind w:right="560"/>
        <w:jc w:val="center"/>
        <w:rPr>
          <w:b/>
          <w:sz w:val="28"/>
          <w:szCs w:val="28"/>
        </w:rPr>
      </w:pPr>
      <w:r>
        <w:rPr>
          <w:b/>
          <w:sz w:val="28"/>
          <w:szCs w:val="28"/>
        </w:rPr>
        <w:t xml:space="preserve">The potential of shipping along the Northern Sea Route </w:t>
      </w:r>
      <w:proofErr w:type="gramStart"/>
      <w:r>
        <w:rPr>
          <w:b/>
          <w:sz w:val="28"/>
          <w:szCs w:val="28"/>
        </w:rPr>
        <w:t>will be discussed</w:t>
      </w:r>
      <w:proofErr w:type="gramEnd"/>
      <w:r>
        <w:rPr>
          <w:b/>
          <w:sz w:val="28"/>
          <w:szCs w:val="28"/>
        </w:rPr>
        <w:t xml:space="preserve"> at ATOMEXPO-2024</w:t>
      </w:r>
    </w:p>
    <w:p w:rsidR="00575303" w:rsidRDefault="009867FD">
      <w:pPr>
        <w:ind w:right="560"/>
        <w:jc w:val="center"/>
        <w:rPr>
          <w:i/>
        </w:rPr>
      </w:pPr>
      <w:r>
        <w:rPr>
          <w:i/>
        </w:rPr>
        <w:t>Participants will discuss projects in transport, logistics, energy, and infrastructural support for shipping</w:t>
      </w:r>
    </w:p>
    <w:p w:rsidR="00575303" w:rsidRDefault="00575303">
      <w:pPr>
        <w:ind w:right="560"/>
        <w:rPr>
          <w:sz w:val="28"/>
          <w:szCs w:val="28"/>
        </w:rPr>
      </w:pPr>
    </w:p>
    <w:p w:rsidR="00575303" w:rsidRDefault="009867FD">
      <w:pPr>
        <w:ind w:right="560"/>
      </w:pPr>
      <w:r>
        <w:t>On March 26, 2024, the session “The Northern Sea Route: The Boundless Potential of the Arctic” will be held at ATOMEXPO-2024.</w:t>
      </w:r>
    </w:p>
    <w:p w:rsidR="00575303" w:rsidRDefault="009867FD">
      <w:pPr>
        <w:ind w:right="560"/>
      </w:pPr>
      <w:r>
        <w:t> </w:t>
      </w:r>
    </w:p>
    <w:p w:rsidR="00575303" w:rsidRDefault="009867FD">
      <w:pPr>
        <w:ind w:right="560"/>
      </w:pPr>
      <w:proofErr w:type="gramStart"/>
      <w:r>
        <w:t>It will be attende</w:t>
      </w:r>
      <w:r>
        <w:t xml:space="preserve">d by representatives of the State Duma of the Russian Federation, </w:t>
      </w:r>
      <w:proofErr w:type="spellStart"/>
      <w:r>
        <w:t>Rosatom</w:t>
      </w:r>
      <w:proofErr w:type="spellEnd"/>
      <w:r>
        <w:t xml:space="preserve">, the Marine Research Center of </w:t>
      </w:r>
      <w:proofErr w:type="spellStart"/>
      <w:r>
        <w:t>Lomonosov</w:t>
      </w:r>
      <w:proofErr w:type="spellEnd"/>
      <w:r>
        <w:t xml:space="preserve"> Moscow State University, </w:t>
      </w:r>
      <w:proofErr w:type="spellStart"/>
      <w:r>
        <w:t>Sasakawa</w:t>
      </w:r>
      <w:proofErr w:type="spellEnd"/>
      <w:r>
        <w:t xml:space="preserve"> Peace Foundation (Japan), Birla Institute of Technology and Science (India), and other organizations</w:t>
      </w:r>
      <w:proofErr w:type="gramEnd"/>
      <w:r>
        <w:t xml:space="preserve">. </w:t>
      </w:r>
      <w:proofErr w:type="gramStart"/>
      <w:r>
        <w:t>The e</w:t>
      </w:r>
      <w:r>
        <w:t xml:space="preserve">vent will be moderated by Mikhail </w:t>
      </w:r>
      <w:proofErr w:type="spellStart"/>
      <w:r>
        <w:t>Bazhenov</w:t>
      </w:r>
      <w:proofErr w:type="spellEnd"/>
      <w:r>
        <w:t>, partner of the Technologies of Trust consulting company</w:t>
      </w:r>
      <w:proofErr w:type="gramEnd"/>
      <w:r>
        <w:t>.</w:t>
      </w:r>
    </w:p>
    <w:p w:rsidR="00575303" w:rsidRDefault="009867FD">
      <w:pPr>
        <w:ind w:right="560"/>
      </w:pPr>
      <w:r>
        <w:t> </w:t>
      </w:r>
    </w:p>
    <w:p w:rsidR="00575303" w:rsidRDefault="009867FD">
      <w:pPr>
        <w:ind w:right="560"/>
      </w:pPr>
      <w:r>
        <w:t>The participants of the discussion will consider the main directions of the development of existing and promising investment projects in the field of tra</w:t>
      </w:r>
      <w:r>
        <w:t>nsport, logistics, energy and infrastructural support for shipping. The experts will also address the balance between economic interests and environmental protection. It will be important during the session to consider the types of maritime transport throu</w:t>
      </w:r>
      <w:r>
        <w:t>gh the spectacle of the amount of carbon dioxide emissions into the atmosphere. The participants will also analyze the formation of new international relations in an era of new global challenges.</w:t>
      </w:r>
    </w:p>
    <w:p w:rsidR="00575303" w:rsidRDefault="009867FD">
      <w:pPr>
        <w:ind w:right="560"/>
      </w:pPr>
      <w:r>
        <w:t> </w:t>
      </w:r>
    </w:p>
    <w:p w:rsidR="00575303" w:rsidRDefault="009867FD">
      <w:pPr>
        <w:ind w:right="560"/>
      </w:pPr>
      <w:r>
        <w:t>The session “The Northern Sea Route: The Boundless Potenti</w:t>
      </w:r>
      <w:r>
        <w:t xml:space="preserve">al of the Arctic” will be held in Hall </w:t>
      </w:r>
      <w:bookmarkStart w:id="0" w:name="_GoBack"/>
      <w:bookmarkEnd w:id="0"/>
      <w:r>
        <w:t>No. 7 of the Main Media Center (Sirius Park of Science and Art).</w:t>
      </w:r>
      <w:r w:rsidR="00D03F8A" w:rsidRPr="00D03F8A">
        <w:t xml:space="preserve"> Start time: 10:00 am.</w:t>
      </w:r>
    </w:p>
    <w:p w:rsidR="00575303" w:rsidRDefault="009867FD">
      <w:pPr>
        <w:ind w:right="560"/>
      </w:pPr>
      <w:r>
        <w:t> </w:t>
      </w:r>
    </w:p>
    <w:p w:rsidR="00575303" w:rsidRDefault="009867FD">
      <w:pPr>
        <w:ind w:right="560"/>
        <w:rPr>
          <w:b/>
        </w:rPr>
      </w:pPr>
      <w:r>
        <w:rPr>
          <w:b/>
        </w:rPr>
        <w:t>For reference:</w:t>
      </w:r>
    </w:p>
    <w:p w:rsidR="00575303" w:rsidRDefault="009867FD">
      <w:pPr>
        <w:ind w:right="560"/>
      </w:pPr>
      <w:r>
        <w:t> </w:t>
      </w:r>
    </w:p>
    <w:p w:rsidR="00575303" w:rsidRDefault="009867FD">
      <w:pPr>
        <w:ind w:right="560"/>
      </w:pPr>
      <w:proofErr w:type="spellStart"/>
      <w:r>
        <w:t>Rosatom</w:t>
      </w:r>
      <w:proofErr w:type="spellEnd"/>
      <w:r>
        <w:t xml:space="preserve"> is a multi-industry holding </w:t>
      </w:r>
      <w:proofErr w:type="gramStart"/>
      <w:r>
        <w:t>company which</w:t>
      </w:r>
      <w:proofErr w:type="gramEnd"/>
      <w:r>
        <w:t xml:space="preserve"> comprises assets in power engineering, machine building, and construction. Its stra</w:t>
      </w:r>
      <w:r>
        <w:t xml:space="preserve">tegy is to develop low-carbon generation, including wind power. </w:t>
      </w:r>
      <w:proofErr w:type="spellStart"/>
      <w:r>
        <w:t>Rosatom</w:t>
      </w:r>
      <w:proofErr w:type="spellEnd"/>
      <w:r>
        <w:t xml:space="preserve"> is the national leader in power generation (accounting for about 20% of the country’s total output) and ranks first globally in terms of the size of its portfolio of orders for the con</w:t>
      </w:r>
      <w:r>
        <w:t>struction of NPPs (33 power units in 10 countries).</w:t>
      </w:r>
    </w:p>
    <w:p w:rsidR="00575303" w:rsidRDefault="009867FD">
      <w:pPr>
        <w:ind w:right="560"/>
      </w:pPr>
      <w:r>
        <w:t> </w:t>
      </w:r>
    </w:p>
    <w:p w:rsidR="00575303" w:rsidRDefault="009867FD">
      <w:pPr>
        <w:ind w:right="560"/>
      </w:pPr>
      <w:r>
        <w:t xml:space="preserve">Ensuring the year-round use of the Northern Sea Route as a transport corridor of global importance </w:t>
      </w:r>
      <w:proofErr w:type="gramStart"/>
      <w:r>
        <w:t>is today inextricably linked</w:t>
      </w:r>
      <w:proofErr w:type="gramEnd"/>
      <w:r>
        <w:t xml:space="preserve"> to both the implementation of Arctic projects and the increase in transit </w:t>
      </w:r>
      <w:r>
        <w:t>traffic. </w:t>
      </w:r>
      <w:proofErr w:type="gramStart"/>
      <w:r>
        <w:t>The comprehensive development of the Arctic and the transformation of the Northern Sea Route into a year-round global transportation and logistics route require joint strategic decisions aimed at developing the Arctic mineral resource base, formin</w:t>
      </w:r>
      <w:r>
        <w:t xml:space="preserve">g a cluster approach to resource development, ensuring safe and sustainable Arctic shipping, creating </w:t>
      </w:r>
      <w:r>
        <w:lastRenderedPageBreak/>
        <w:t>modern and efficient port infrastructure, and monitoring the condition of Arctic aquatic and terrestrial ecosystems.</w:t>
      </w:r>
      <w:proofErr w:type="gramEnd"/>
    </w:p>
    <w:p w:rsidR="00575303" w:rsidRDefault="009867FD">
      <w:pPr>
        <w:ind w:right="560"/>
      </w:pPr>
      <w:r>
        <w:t> </w:t>
      </w:r>
    </w:p>
    <w:p w:rsidR="00575303" w:rsidRDefault="009867FD">
      <w:pPr>
        <w:ind w:right="560"/>
      </w:pPr>
      <w:r>
        <w:t xml:space="preserve">As a reminder, </w:t>
      </w:r>
      <w:proofErr w:type="spellStart"/>
      <w:r>
        <w:t>Rosatom</w:t>
      </w:r>
      <w:proofErr w:type="spellEnd"/>
      <w:r>
        <w:t xml:space="preserve"> has been the</w:t>
      </w:r>
      <w:r>
        <w:t xml:space="preserve"> operator of the world's only fleet of nuclear icebreakers since 2008. In 2018, a federal law </w:t>
      </w:r>
      <w:proofErr w:type="gramStart"/>
      <w:r>
        <w:t>was passed</w:t>
      </w:r>
      <w:proofErr w:type="gramEnd"/>
      <w:r>
        <w:t xml:space="preserve"> entrusting it with developing the NSR infrastructure. In 2022, pursuant to the order of the Government of the Russian Federation, </w:t>
      </w:r>
      <w:proofErr w:type="gramStart"/>
      <w:r>
        <w:t>the Federal State Bud</w:t>
      </w:r>
      <w:r>
        <w:t xml:space="preserve">getary Institution Main Directorate of the Northern Sea Route (NSR General Administration) was established by </w:t>
      </w:r>
      <w:proofErr w:type="spellStart"/>
      <w:r>
        <w:t>Rosatom</w:t>
      </w:r>
      <w:proofErr w:type="spellEnd"/>
      <w:proofErr w:type="gramEnd"/>
      <w:r>
        <w:t xml:space="preserve"> for the purpose of navigation management along the NSR. Furthermore, the possibilities of suspension, renewal, modification and cancellati</w:t>
      </w:r>
      <w:r>
        <w:t xml:space="preserve">on of permits for navigation in the NSR water area </w:t>
      </w:r>
      <w:proofErr w:type="gramStart"/>
      <w:r>
        <w:t>have been legislatively added</w:t>
      </w:r>
      <w:proofErr w:type="gramEnd"/>
      <w:r>
        <w:t xml:space="preserve"> parallel with their issuance mechanism. These changes were introduced under the conditions of the growth of the NSR cargo traffic so that to enhance the navigation safety in t</w:t>
      </w:r>
      <w:r>
        <w:t>he water area.</w:t>
      </w:r>
    </w:p>
    <w:p w:rsidR="00575303" w:rsidRDefault="009867FD">
      <w:pPr>
        <w:ind w:right="560"/>
      </w:pPr>
      <w:r>
        <w:t> </w:t>
      </w:r>
    </w:p>
    <w:p w:rsidR="00575303" w:rsidRDefault="009867FD">
      <w:pPr>
        <w:ind w:right="560"/>
      </w:pPr>
      <w:r>
        <w:t>The ATOMEXPO International Forum is the main event of the global atomic industry. It is the largest exhibition and business platform for discussing the current state of the atomic industry and setting trends of future development. Held sin</w:t>
      </w:r>
      <w:r>
        <w:t xml:space="preserve">ce 2009, </w:t>
      </w:r>
      <w:proofErr w:type="gramStart"/>
      <w:r>
        <w:t>the Forum is attended by managers of key companies in the global atomic industry, government agencies, international and public organizations,</w:t>
      </w:r>
      <w:proofErr w:type="gramEnd"/>
      <w:r>
        <w:t xml:space="preserve"> and leading experts. The Forum format includes an exhibition and congress with an extensive business pro</w:t>
      </w:r>
      <w:r>
        <w:t>gram, the key event of which is a plenary session. Panel discussions and roundtables discuss topics that are most important for the atomic industry. Leading companies in the global atomic industry and related industries present at the exhibition their tech</w:t>
      </w:r>
      <w:r>
        <w:t>nologies and competences.</w:t>
      </w:r>
    </w:p>
    <w:p w:rsidR="00575303" w:rsidRDefault="009867FD">
      <w:pPr>
        <w:ind w:right="560"/>
      </w:pPr>
      <w:r>
        <w:t> </w:t>
      </w:r>
    </w:p>
    <w:p w:rsidR="00575303" w:rsidRDefault="009867FD">
      <w:pPr>
        <w:ind w:right="560"/>
      </w:pPr>
      <w:r>
        <w:t> </w:t>
      </w:r>
    </w:p>
    <w:p w:rsidR="00575303" w:rsidRDefault="009867FD">
      <w:pPr>
        <w:ind w:right="560"/>
      </w:pPr>
      <w:r>
        <w:t> </w:t>
      </w:r>
    </w:p>
    <w:p w:rsidR="00575303" w:rsidRDefault="009867FD">
      <w:pPr>
        <w:ind w:right="560"/>
      </w:pPr>
      <w:r>
        <w:t> </w:t>
      </w:r>
    </w:p>
    <w:p w:rsidR="00575303" w:rsidRDefault="00575303">
      <w:pPr>
        <w:ind w:right="560"/>
        <w:rPr>
          <w:sz w:val="28"/>
          <w:szCs w:val="28"/>
        </w:rPr>
      </w:pPr>
    </w:p>
    <w:p w:rsidR="00575303" w:rsidRDefault="00575303">
      <w:pPr>
        <w:ind w:right="560"/>
        <w:rPr>
          <w:sz w:val="28"/>
          <w:szCs w:val="28"/>
        </w:rPr>
      </w:pPr>
    </w:p>
    <w:p w:rsidR="00575303" w:rsidRDefault="00575303">
      <w:pPr>
        <w:ind w:right="560"/>
        <w:rPr>
          <w:sz w:val="28"/>
          <w:szCs w:val="28"/>
        </w:rPr>
      </w:pPr>
    </w:p>
    <w:sectPr w:rsidR="00575303">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7FD" w:rsidRDefault="009867FD">
      <w:r>
        <w:separator/>
      </w:r>
    </w:p>
  </w:endnote>
  <w:endnote w:type="continuationSeparator" w:id="0">
    <w:p w:rsidR="009867FD" w:rsidRDefault="0098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303" w:rsidRDefault="009867FD">
    <w:pPr>
      <w:pBdr>
        <w:top w:val="nil"/>
        <w:left w:val="nil"/>
        <w:bottom w:val="nil"/>
        <w:right w:val="nil"/>
        <w:between w:val="nil"/>
      </w:pBdr>
      <w:tabs>
        <w:tab w:val="center" w:pos="4680"/>
        <w:tab w:val="right" w:pos="9360"/>
      </w:tabs>
      <w:rPr>
        <w:i/>
        <w:color w:val="AEAAAA"/>
      </w:rPr>
    </w:pPr>
    <w:r>
      <w:rPr>
        <w:i/>
        <w:color w:val="AEAAAA"/>
      </w:rPr>
      <w:t xml:space="preserve">The Communications Department of </w:t>
    </w:r>
    <w:proofErr w:type="spellStart"/>
    <w:r>
      <w:rPr>
        <w:i/>
        <w:color w:val="AEAAAA"/>
      </w:rPr>
      <w:t>Rosatom</w:t>
    </w:r>
    <w:proofErr w:type="spellEnd"/>
    <w:r>
      <w:rPr>
        <w:i/>
        <w:color w:val="AEAAA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7FD" w:rsidRDefault="009867FD">
      <w:r>
        <w:separator/>
      </w:r>
    </w:p>
  </w:footnote>
  <w:footnote w:type="continuationSeparator" w:id="0">
    <w:p w:rsidR="009867FD" w:rsidRDefault="00986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303"/>
    <w:rsid w:val="00575303"/>
    <w:rsid w:val="009867FD"/>
    <w:rsid w:val="00D03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5C02E1-8A5C-4A2C-BC6A-FCA2C019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uiPriority w:val="99"/>
    <w:unhideWhenUsed/>
    <w:rsid w:val="00C56287"/>
    <w:rPr>
      <w:color w:val="0563C1" w:themeColor="hyperlink"/>
      <w:u w:val="single"/>
    </w:rPr>
  </w:style>
  <w:style w:type="character" w:customStyle="1" w:styleId="UnresolvedMention">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tommedia.online/e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lgB7cDUiinKgDXoJ6Bp9M80PTg==">CgMxLjA4AGojChRzdWdnZXN0LnFhaWdkbDI4MHQ1NhILU3RyYW5nZSBDYXRqIwoUc3VnZ2VzdC4zNWI2ZmNjMGJ1bTESC1N0cmFuZ2UgQ2F0aiMKFHN1Z2dlc3QuM3pqeThyam1oMWU1EgtTdHJhbmdlIENhdGojChRzdWdnZXN0LjU3M2FyZTZmNWxhdxILU3RyYW5nZSBDYXRqIwoUc3VnZ2VzdC5xa3Z3aDkyb3ZoNGQSC1N0cmFuZ2UgQ2F0aiMKFHN1Z2dlc3QuMjY1Z3Y0MXF6cTUyEgtTdHJhbmdlIENhdGojChRzdWdnZXN0LjN0cjlleWo0M29taRILU3RyYW5nZSBDYXRqIwoUc3VnZ2VzdC5pOTZleGt4b3lmbGkSC1N0cmFuZ2UgQ2F0aiMKFHN1Z2dlc3QuOWEyNTc0cmp6ejFjEgtTdHJhbmdlIENhdGojChRzdWdnZXN0LmFjNzhyMXBxMjBnahILU3RyYW5nZSBDYXRyITFpMnZob2FRQTY3aVZZdXhRaDlRcGg1N1NWRDl5WjA0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3732</Characters>
  <Application>Microsoft Office Word</Application>
  <DocSecurity>0</DocSecurity>
  <Lines>31</Lines>
  <Paragraphs>8</Paragraphs>
  <ScaleCrop>false</ScaleCrop>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v</dc:creator>
  <cp:lastModifiedBy>КСП</cp:lastModifiedBy>
  <cp:revision>2</cp:revision>
  <dcterms:created xsi:type="dcterms:W3CDTF">2024-03-12T08:52:00Z</dcterms:created>
  <dcterms:modified xsi:type="dcterms:W3CDTF">2024-03-12T10:26:00Z</dcterms:modified>
</cp:coreProperties>
</file>