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142" w:tblpY="0"/>
        <w:tblW w:w="1077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18"/>
        <w:gridCol w:w="4120"/>
        <w:gridCol w:w="5136"/>
        <w:tblGridChange w:id="0">
          <w:tblGrid>
            <w:gridCol w:w="1518"/>
            <w:gridCol w:w="4120"/>
            <w:gridCol w:w="51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20957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b="0" l="0" r="0" t="0"/>
                  <wp:wrapSquare wrapText="bothSides" distB="0" distT="0" distL="114300" distR="114300"/>
                  <wp:docPr id="150663057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20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Медиацентр атомной</w:t>
            </w:r>
          </w:p>
          <w:p w:rsidR="00000000" w:rsidDel="00000000" w:rsidP="00000000" w:rsidRDefault="00000000" w:rsidRPr="00000000" w14:paraId="00000004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промышленности</w:t>
              <w:br w:type="textWrapping"/>
            </w:r>
            <w:hyperlink r:id="rId8">
              <w:r w:rsidDel="00000000" w:rsidR="00000000" w:rsidRPr="00000000">
                <w:rPr>
                  <w:color w:val="0563c1"/>
                  <w:sz w:val="28"/>
                  <w:szCs w:val="28"/>
                  <w:u w:val="single"/>
                  <w:rtl w:val="0"/>
                </w:rPr>
                <w:t xml:space="preserve">atommedia.online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ind w:right="560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Пресс-релиз</w:t>
            </w:r>
          </w:p>
          <w:p w:rsidR="00000000" w:rsidDel="00000000" w:rsidP="00000000" w:rsidRDefault="00000000" w:rsidRPr="00000000" w14:paraId="00000006">
            <w:pPr>
              <w:ind w:right="56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2.12.24</w:t>
            </w:r>
          </w:p>
        </w:tc>
      </w:tr>
    </w:tbl>
    <w:p w:rsidR="00000000" w:rsidDel="00000000" w:rsidP="00000000" w:rsidRDefault="00000000" w:rsidRPr="00000000" w14:paraId="0000000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Завершен вывоз отработавшего ядерного топлива с бывшей береговой базы ВМФ РФ «Гремиха» в Мурманской области</w:t>
      </w:r>
    </w:p>
    <w:p w:rsidR="00000000" w:rsidDel="00000000" w:rsidP="00000000" w:rsidRDefault="00000000" w:rsidRPr="00000000" w14:paraId="00000009">
      <w:pPr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«Росатом» продолжает очистку акватории Арктики от опасного ядерного наследия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С береговой технической базы ВМФ РФ в ЗАТО г. Островной (поселок Гремиха) вывезена последняя партия отработавшего ядерного топлива: последний – одиннадцатый – комплект отработавших выемных частей (ОВЧ) реактора на жидкометаллическом теплоносителе был разобран и отправлен на переработку.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Процесс разборки и вывоза всех ОВЧ занял более десятилетия. Специальная технология, созданная на производственном объединении «Маяк», позволяет полностью перерабатывать разобранные кассеты с отработавшим уран-бериллиевым топливом </w:t>
      </w:r>
      <w:r w:rsidDel="00000000" w:rsidR="00000000" w:rsidRPr="00000000">
        <w:rPr>
          <w:rtl w:val="0"/>
        </w:rPr>
        <w:t xml:space="preserve">от</w:t>
      </w:r>
      <w:r w:rsidDel="00000000" w:rsidR="00000000" w:rsidRPr="00000000">
        <w:rPr>
          <w:rtl w:val="0"/>
        </w:rPr>
        <w:t xml:space="preserve"> реакторов атомных подводных лодок (АПЛ) на жидкометаллическом теплоносителе.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Одиннадцатый комплект ОВЧ входил в состав стенда-прототипа реакторной установки ОК-550КМ для атомных подводных лодок, который ранее, в 2017 году, был доставлен в Гремиху с соблюдением всех норм безопасности.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Директор по государственной политике в области радиоактивных отходов, отработавшего ядерного топлива (ОЯТ) и вывода из эксплуатации ядерно и радиационно опасных объектов госкорпорации «Росатом» Василий Тинин в этой связи отметил: «Специалистами “Росатома” решена сложнейшая проблема ликвидации отработавшего уран-бериллиевого топлива – одного из самых сложных в переработке видов ОЯТ, имеющих обогащение выше 90 % и представляющих серьезную угрозу для человека и хрупкой природы Северо-запада России. Впервые в мире продемонстрирована технология разборки уран-бериллиевых активных зон на составные части, их транспортировка и переработка. Успешное завершение проекта по вывозу ОЯТ из Гремихи означает, что на сегодня в российской части Баренцева моря останется только одно хранилище отработавшего ядерного топлива – в Губе Андреева, откуда уже вывезено больше половины ОЯТ, а полностью работы по вывозу планируется завершить к концу нынешнего десятилетия».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Справка: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База атомных подводных лодок в Гремихе была создана в 1958 году и являлась единственной в СССР, а потом в РФ, где была построена инфраструктура для обеспечения эксплуатации и перезарядки ядерных реакторов АПЛ с жидким металлическим теплоносителем. Энергетические установки с жидкометаллическим реактором имели существенно меньшие габариты, а лодки, которым они оснащались, при схожей с АПЛ с водо-водяными реакторами мощности были компактней и маневренней. В 2000 году – на момент передачи объекта от Минобороны России в ведение Минатома – инфраструктура базы ВМФ в Гремихе не соответствовала современным требованиям по безопасности и практически полностью утратила возможность функционирования по прямому назначению.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«Росатом» ликвидирует опасное ядерное наследие ВМФ в рамках государственной программы «Развитие атомного энергопромышленного комплекса». В частности, госкорпорация продолжает очищать акватории Арктики и Дальнего Востока. К сегодняшнему дню в стране утилизированы 202 атомные подводные лодки, выведенные из эксплуатации.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В Мурманской области вывоз отработавшего ядерного топлива идет в плановом режиме: с 2002 по 2023 год суммарный объем накопленного ОЯТ сократился более чем в 2 раза. С Дальнего Востока все накопленное отработавшее ядерное топливо уже полностью вывезено. Также вывезены радиационно опасные отходы с бывшей береговой технической базы ВМФ в бухте Крашенинникова, начаты работы по ее выводу из эксплуатации.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К ликвидации опасного ядерного наследия «Росатом» подходит комплексно. В рамках двух федеральных целевых программ «Обеспечение ядерной и радиационной безопасности» (ФЦП ЯРБ) госкорпорация также ликвидирует старые радиационно опасные производства и объекты. В проектах принимают участие более 220 предприятий атомной отрасли из более 30 регионов страны. Реализация программ позволила к сегодняшнему дню вывести из эксплуатации порядка 100 объектов, реабилитировать более трех миллионов квадратных метров загрязненных территорий в 23 регионах России.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Экологический блок «Росатома» играет важную роль в обеспечении экологической безопасности атомной отрасли, экологического благополучия населения и устойчивого развития страны. Деятельность предприятий блока включает: обращение с радиоактивными и опасными промышленными отходами (безопасное хранение, переработка и утилизация); мониторинг состояния окружающей среды; реабилитацию </w:t>
      </w:r>
      <w:r w:rsidDel="00000000" w:rsidR="00000000" w:rsidRPr="00000000">
        <w:rPr>
          <w:rtl w:val="0"/>
        </w:rPr>
        <w:t xml:space="preserve">загрязнённых</w:t>
      </w:r>
      <w:r w:rsidDel="00000000" w:rsidR="00000000" w:rsidRPr="00000000">
        <w:rPr>
          <w:rtl w:val="0"/>
        </w:rPr>
        <w:t xml:space="preserve"> территорий (включая ликвидацию радиационных объектов) и восстановление экосистем. Они занимаются также разработкой и внедрением технологий для создания экономики замкнутого цикла: в рамках нацпроекта «Экология» блок формирует национальную систему по управлению промышленными отходами I-II классов опасности, что предполагает создание перерабатывающих мощностей и внедрение цифровых инструментов для мониторинга процесса обращения с этими отходами (платформа ФГИС ОПВК). В состав блока входят: ФГУП «Федеральный экологический оператор» (ФЭО, </w:t>
      </w: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rosfeo.ru</w:t>
        </w:r>
      </w:hyperlink>
      <w:r w:rsidDel="00000000" w:rsidR="00000000" w:rsidRPr="00000000">
        <w:rPr>
          <w:rtl w:val="0"/>
        </w:rPr>
        <w:t xml:space="preserve">), основной игрок в области управления отходами I и II классов; АО «Росатом Экологический интегратор» (</w:t>
      </w:r>
      <w:hyperlink r:id="rId10">
        <w:r w:rsidDel="00000000" w:rsidR="00000000" w:rsidRPr="00000000">
          <w:rPr>
            <w:color w:val="0563c1"/>
            <w:u w:val="single"/>
            <w:rtl w:val="0"/>
          </w:rPr>
          <w:t xml:space="preserve">rosatom-rei.ru</w:t>
        </w:r>
      </w:hyperlink>
      <w:r w:rsidDel="00000000" w:rsidR="00000000" w:rsidRPr="00000000">
        <w:rPr>
          <w:rtl w:val="0"/>
        </w:rPr>
        <w:t xml:space="preserve">), отвечает за координацию и интеграцию всех процессов в рамках экологической стратегии «Росатома»; ФГУП «Горно-химический комбинат» (ГХК, </w:t>
      </w:r>
      <w:hyperlink r:id="rId11">
        <w:r w:rsidDel="00000000" w:rsidR="00000000" w:rsidRPr="00000000">
          <w:rPr>
            <w:color w:val="0563c1"/>
            <w:u w:val="single"/>
            <w:rtl w:val="0"/>
          </w:rPr>
          <w:t xml:space="preserve">sibghk.ru</w:t>
        </w:r>
      </w:hyperlink>
      <w:r w:rsidDel="00000000" w:rsidR="00000000" w:rsidRPr="00000000">
        <w:rPr>
          <w:rtl w:val="0"/>
        </w:rPr>
        <w:t xml:space="preserve">), ФГУП «Радон» (</w:t>
      </w:r>
      <w:hyperlink r:id="rId12">
        <w:r w:rsidDel="00000000" w:rsidR="00000000" w:rsidRPr="00000000">
          <w:rPr>
            <w:color w:val="0563c1"/>
            <w:u w:val="single"/>
            <w:rtl w:val="0"/>
          </w:rPr>
          <w:t xml:space="preserve">radon.ru</w:t>
        </w:r>
      </w:hyperlink>
      <w:r w:rsidDel="00000000" w:rsidR="00000000" w:rsidRPr="00000000">
        <w:rPr>
          <w:rtl w:val="0"/>
        </w:rPr>
        <w:t xml:space="preserve">), ФГУП «Национальный оператор по обращению с радиоактивными отходами» (НО РАО, </w:t>
      </w:r>
      <w:hyperlink r:id="rId13">
        <w:r w:rsidDel="00000000" w:rsidR="00000000" w:rsidRPr="00000000">
          <w:rPr>
            <w:color w:val="0563c1"/>
            <w:u w:val="single"/>
            <w:rtl w:val="0"/>
          </w:rPr>
          <w:t xml:space="preserve">norao.ru</w:t>
        </w:r>
      </w:hyperlink>
      <w:r w:rsidDel="00000000" w:rsidR="00000000" w:rsidRPr="00000000">
        <w:rPr>
          <w:rtl w:val="0"/>
        </w:rPr>
        <w:t xml:space="preserve">) и ОДЦ УГР («Опытно-демонстрационный центр уран-графитовых реакторов» </w:t>
      </w:r>
      <w:hyperlink r:id="rId14">
        <w:r w:rsidDel="00000000" w:rsidR="00000000" w:rsidRPr="00000000">
          <w:rPr>
            <w:color w:val="0563c1"/>
            <w:u w:val="single"/>
            <w:rtl w:val="0"/>
          </w:rPr>
          <w:t xml:space="preserve">одцугр.рф</w:t>
        </w:r>
      </w:hyperlink>
      <w:r w:rsidDel="00000000" w:rsidR="00000000" w:rsidRPr="00000000">
        <w:rPr>
          <w:rtl w:val="0"/>
        </w:rPr>
        <w:t xml:space="preserve">) специализируются на обращении с радиоактивными материалами, участвуют в управлении ядерными объектами и их выводе из эксплуатации.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ФГУП «РАДОН» занимает в стране лидирующие позиции в сфере обращения с РАО. Входит в структуру госкорпорации «Росатом» (дивизион «Экологические решения»). Предприятие было основано в 1960 году для обеспечения радиационной безопасности населения, территорий и объектов окружающей среды Центрального региона России. В «РАДОН» входят 11 филиалов. Предприятие в 2018 году назначено специализированным отраслевым оператором по управлению объектами ядерного наследия, основными задачами которого стали поддержание ядерно и радиационно опасных объектов в безопасном состоянии и оптимизация процессов по их выводу из эксплуатации, включая работы по обращению с РАО и реабилитацию территорий.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Госкорпорация «Росатом», производящая электричество с помощью низкоуглеродной генерации, последовательно реализует шаги по снижению негативного влияния на природу. Обеспечение ядерной и радиационной безопасности – одна из приоритетных задач российской атомной отрасли. Атомщики уделяют большое внимание мероприятиям по охране окружающей среды и реабилитации загрязненных территорий. Перспективные планы «Росатома» в сфере обеспечения безопасности включают в себя дальнейшее совершенствование культуры безопасной эксплуатации ядерных объектов, продолжение работ по ликвидации наследия советского «атомного проекта», внедрение современных систем управления безопасностью.</w:t>
      </w:r>
    </w:p>
    <w:p w:rsidR="00000000" w:rsidDel="00000000" w:rsidP="00000000" w:rsidRDefault="00000000" w:rsidRPr="00000000" w14:paraId="00000022">
      <w:pPr>
        <w:jc w:val="center"/>
        <w:rPr/>
      </w:pPr>
      <w:r w:rsidDel="00000000" w:rsidR="00000000" w:rsidRPr="00000000">
        <w:rPr>
          <w:rtl w:val="0"/>
        </w:rPr>
      </w:r>
    </w:p>
    <w:sectPr>
      <w:footerReference r:id="rId15" w:type="default"/>
      <w:pgSz w:h="15840" w:w="12240" w:orient="portrait"/>
      <w:pgMar w:bottom="1134" w:top="45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59595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i w:val="1"/>
        <w:color w:val="595959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a4">
    <w:name w:val="Hyperlink"/>
    <w:basedOn w:val="a0"/>
    <w:uiPriority w:val="99"/>
    <w:unhideWhenUsed w:val="1"/>
    <w:rsid w:val="00C5628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 w:val="1"/>
    <w:unhideWhenUsed w:val="1"/>
    <w:rsid w:val="00C56287"/>
    <w:rPr>
      <w:color w:val="605e5c"/>
      <w:shd w:color="auto" w:fill="e1dfdd" w:val="clear"/>
    </w:rPr>
  </w:style>
  <w:style w:type="paragraph" w:styleId="a6">
    <w:name w:val="header"/>
    <w:basedOn w:val="a"/>
    <w:link w:val="a7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7" w:customStyle="1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9" w:customStyle="1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basedOn w:val="a0"/>
    <w:uiPriority w:val="99"/>
    <w:semiHidden w:val="1"/>
    <w:unhideWhenUsed w:val="1"/>
    <w:rsid w:val="00C56287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0776E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c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d" w:customStyle="1">
    <w:basedOn w:val="a1"/>
    <w:tblPr>
      <w:tblStyleRowBandSize w:val="1"/>
      <w:tblStyleColBandSize w:val="1"/>
    </w:tblPr>
  </w:style>
  <w:style w:type="paragraph" w:styleId="v1msonormal" w:customStyle="1">
    <w:name w:val="v1msonormal"/>
    <w:basedOn w:val="a"/>
    <w:rsid w:val="0075679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ae">
    <w:name w:val="Normal (Web)"/>
    <w:basedOn w:val="a"/>
    <w:uiPriority w:val="99"/>
    <w:semiHidden w:val="1"/>
    <w:unhideWhenUsed w:val="1"/>
    <w:rsid w:val="00ED1B3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v1msohyperlink" w:customStyle="1">
    <w:name w:val="v1msohyperlink"/>
    <w:basedOn w:val="a0"/>
    <w:rsid w:val="008E1AE0"/>
  </w:style>
  <w:style w:type="character" w:styleId="af">
    <w:name w:val="Emphasis"/>
    <w:basedOn w:val="a0"/>
    <w:uiPriority w:val="20"/>
    <w:qFormat w:val="1"/>
    <w:rsid w:val="00912895"/>
    <w:rPr>
      <w:i w:val="1"/>
      <w:iCs w:val="1"/>
    </w:rPr>
  </w:style>
  <w:style w:type="character" w:styleId="af0">
    <w:name w:val="Strong"/>
    <w:basedOn w:val="a0"/>
    <w:uiPriority w:val="22"/>
    <w:qFormat w:val="1"/>
    <w:rsid w:val="00912895"/>
    <w:rPr>
      <w:b w:val="1"/>
      <w:bCs w:val="1"/>
    </w:rPr>
  </w:style>
  <w:style w:type="paragraph" w:styleId="western" w:customStyle="1">
    <w:name w:val="western"/>
    <w:basedOn w:val="a"/>
    <w:qFormat w:val="1"/>
    <w:rsid w:val="000C417F"/>
    <w:pPr>
      <w:suppressAutoHyphens w:val="1"/>
      <w:spacing w:after="142" w:beforeAutospacing="1" w:line="276" w:lineRule="auto"/>
    </w:pPr>
    <w:rPr>
      <w:rFonts w:asciiTheme="minorHAnsi" w:cstheme="minorBidi" w:eastAsiaTheme="minorHAnsi" w:hAnsiTheme="minorHAnsi"/>
      <w:color w:val="000000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sibghk.ru/" TargetMode="External"/><Relationship Id="rId10" Type="http://schemas.openxmlformats.org/officeDocument/2006/relationships/hyperlink" Target="https://rosatom-rei.ru/" TargetMode="External"/><Relationship Id="rId13" Type="http://schemas.openxmlformats.org/officeDocument/2006/relationships/hyperlink" Target="https://www.norao.ru/" TargetMode="External"/><Relationship Id="rId12" Type="http://schemas.openxmlformats.org/officeDocument/2006/relationships/hyperlink" Target="https://radon.ru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rosfeo.ru/" TargetMode="External"/><Relationship Id="rId15" Type="http://schemas.openxmlformats.org/officeDocument/2006/relationships/footer" Target="footer1.xml"/><Relationship Id="rId14" Type="http://schemas.openxmlformats.org/officeDocument/2006/relationships/hyperlink" Target="https://xn--c1ab3aknr.xn--p1ai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WGTweL2V4nC71cAiCPpUjlwIWQ==">CgMxLjA4AHIhMTNhd2VReV9KQklaYTY1aS1NTWxlTWNMSnZRVWhTbnF0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2024-12-02T07:54:00Z</dcterms:created>
  <dc:creator>b v</dc:creator>
</cp:coreProperties>
</file>